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FC" w:rsidRDefault="0007696D" w:rsidP="003277FC">
      <w:pPr>
        <w:jc w:val="both"/>
        <w:rPr>
          <w:rFonts w:ascii="Tahoma" w:hAnsi="Tahoma" w:cs="Tahoma"/>
          <w:b/>
          <w:smallCaps/>
          <w:color w:val="000000" w:themeColor="text1"/>
          <w:kern w:val="3"/>
          <w:sz w:val="28"/>
          <w:szCs w:val="26"/>
          <w:lang w:val="pt-BR" w:eastAsia="pt-BR"/>
        </w:rPr>
      </w:pPr>
      <w:r>
        <w:rPr>
          <w:rFonts w:ascii="Tahoma" w:hAnsi="Tahoma" w:cs="Tahoma"/>
          <w:b/>
          <w:smallCaps/>
          <w:color w:val="000000" w:themeColor="text1"/>
          <w:kern w:val="3"/>
          <w:sz w:val="28"/>
          <w:szCs w:val="26"/>
          <w:lang w:val="pt-BR" w:eastAsia="pt-BR"/>
        </w:rPr>
        <w:t xml:space="preserve">EXCELENTÍSSIMO JUIZ DE DIREITO VARA DA COMARCA DE </w:t>
      </w:r>
      <w:r w:rsidR="00A7175F">
        <w:rPr>
          <w:rFonts w:ascii="Tahoma" w:hAnsi="Tahoma" w:cs="Tahoma"/>
          <w:b/>
          <w:smallCaps/>
          <w:color w:val="000000" w:themeColor="text1"/>
          <w:kern w:val="3"/>
          <w:sz w:val="28"/>
          <w:szCs w:val="26"/>
          <w:lang w:val="pt-BR" w:eastAsia="pt-BR"/>
        </w:rPr>
        <w:t>CAMPINÁPOLIS</w:t>
      </w:r>
      <w:r>
        <w:rPr>
          <w:rFonts w:ascii="Tahoma" w:hAnsi="Tahoma" w:cs="Tahoma"/>
          <w:b/>
          <w:smallCaps/>
          <w:color w:val="000000" w:themeColor="text1"/>
          <w:kern w:val="3"/>
          <w:sz w:val="28"/>
          <w:szCs w:val="26"/>
          <w:lang w:val="pt-BR" w:eastAsia="pt-BR"/>
        </w:rPr>
        <w:t>-MT</w:t>
      </w:r>
    </w:p>
    <w:p w:rsidR="003277FC" w:rsidRPr="00BE6497" w:rsidRDefault="003277FC" w:rsidP="003277FC">
      <w:pPr>
        <w:spacing w:line="360" w:lineRule="auto"/>
        <w:ind w:firstLine="1701"/>
        <w:jc w:val="both"/>
        <w:rPr>
          <w:rFonts w:ascii="Tahoma" w:hAnsi="Tahoma" w:cstheme="minorBidi"/>
          <w:b/>
          <w:color w:val="000000" w:themeColor="text1"/>
          <w:sz w:val="26"/>
          <w:szCs w:val="26"/>
          <w:lang w:val="pt-BR"/>
        </w:rPr>
      </w:pPr>
    </w:p>
    <w:p w:rsidR="003277FC" w:rsidRPr="00BE6497" w:rsidRDefault="003277FC" w:rsidP="003277FC">
      <w:pPr>
        <w:ind w:firstLine="1701"/>
        <w:jc w:val="both"/>
        <w:rPr>
          <w:rFonts w:ascii="Tahoma" w:hAnsi="Tahoma" w:cs="Tahoma"/>
          <w:b/>
          <w:color w:val="000000" w:themeColor="text1"/>
          <w:sz w:val="14"/>
          <w:szCs w:val="26"/>
          <w:u w:val="single"/>
          <w:lang w:val="pt-BR"/>
        </w:rPr>
      </w:pPr>
    </w:p>
    <w:p w:rsidR="003277FC" w:rsidRPr="00BE6497" w:rsidRDefault="003277FC" w:rsidP="003277FC">
      <w:pPr>
        <w:ind w:firstLine="1701"/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3277FC" w:rsidRPr="00BE6497" w:rsidRDefault="003277FC" w:rsidP="003277FC">
      <w:pPr>
        <w:ind w:firstLine="1701"/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A7175F" w:rsidRDefault="00A7175F" w:rsidP="0007696D">
      <w:pPr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A7175F" w:rsidRDefault="00A7175F" w:rsidP="0007696D">
      <w:pPr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A7175F" w:rsidRDefault="00A7175F" w:rsidP="0007696D">
      <w:pPr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A7175F" w:rsidRDefault="00A7175F" w:rsidP="0007696D">
      <w:pPr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07696D" w:rsidRPr="0007696D" w:rsidRDefault="006657B1" w:rsidP="0007696D">
      <w:pPr>
        <w:jc w:val="both"/>
        <w:rPr>
          <w:rFonts w:ascii="Tahoma" w:hAnsi="Tahoma" w:cs="Tahoma"/>
          <w:b/>
          <w:color w:val="000000" w:themeColor="text1"/>
          <w:sz w:val="26"/>
          <w:szCs w:val="26"/>
          <w:lang w:val="pt-BR"/>
        </w:rPr>
      </w:pPr>
      <w:r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  <w:t>Processo</w:t>
      </w:r>
      <w:r>
        <w:rPr>
          <w:rFonts w:ascii="Tahoma" w:hAnsi="Tahoma" w:cs="Tahoma"/>
          <w:b/>
          <w:color w:val="000000" w:themeColor="text1"/>
          <w:sz w:val="26"/>
          <w:szCs w:val="26"/>
          <w:lang w:val="pt-BR"/>
        </w:rPr>
        <w:t xml:space="preserve"> n. </w:t>
      </w:r>
      <w:r w:rsidR="00F74B7A">
        <w:rPr>
          <w:rFonts w:ascii="Tahoma" w:hAnsi="Tahoma" w:cs="Tahoma"/>
          <w:b/>
          <w:color w:val="000000" w:themeColor="text1"/>
          <w:sz w:val="26"/>
          <w:szCs w:val="26"/>
          <w:lang w:val="pt-BR"/>
        </w:rPr>
        <w:t>25247</w:t>
      </w:r>
    </w:p>
    <w:p w:rsidR="003277FC" w:rsidRPr="00BE6497" w:rsidRDefault="003277FC" w:rsidP="003277FC">
      <w:pPr>
        <w:ind w:firstLine="1701"/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3277FC" w:rsidRPr="00BE6497" w:rsidRDefault="003277FC" w:rsidP="003277FC">
      <w:pPr>
        <w:ind w:firstLine="1701"/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3277FC" w:rsidRPr="00BE6497" w:rsidRDefault="003277FC" w:rsidP="003277FC">
      <w:pPr>
        <w:ind w:firstLine="1701"/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07696D" w:rsidRDefault="0007696D" w:rsidP="0007696D">
      <w:pPr>
        <w:spacing w:before="240" w:after="240" w:line="360" w:lineRule="auto"/>
        <w:ind w:firstLine="1701"/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</w:pPr>
    </w:p>
    <w:p w:rsidR="0007696D" w:rsidRDefault="003277FC" w:rsidP="00653EDF">
      <w:pPr>
        <w:spacing w:before="240" w:after="240" w:line="276" w:lineRule="auto"/>
        <w:ind w:firstLine="1701"/>
        <w:jc w:val="both"/>
        <w:rPr>
          <w:rFonts w:ascii="Tahoma" w:hAnsi="Tahoma" w:cs="Tahoma"/>
          <w:color w:val="000000" w:themeColor="text1"/>
          <w:sz w:val="26"/>
          <w:szCs w:val="26"/>
          <w:lang w:val="pt-BR"/>
        </w:rPr>
      </w:pPr>
      <w:r w:rsidRPr="00BE6497"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  <w:t>MUNICÍPIO DE CAMPINÁPOLIS</w:t>
      </w:r>
      <w:r w:rsidR="0007696D">
        <w:rPr>
          <w:rFonts w:ascii="Tahoma" w:hAnsi="Tahoma" w:cs="Tahoma"/>
          <w:b/>
          <w:color w:val="000000" w:themeColor="text1"/>
          <w:sz w:val="26"/>
          <w:szCs w:val="26"/>
          <w:u w:val="single"/>
          <w:lang w:val="pt-BR"/>
        </w:rPr>
        <w:t>-MT</w:t>
      </w:r>
      <w:r w:rsidRPr="00BE6497">
        <w:rPr>
          <w:rFonts w:ascii="Tahoma" w:hAnsi="Tahoma" w:cs="Tahoma"/>
          <w:color w:val="000000" w:themeColor="text1"/>
          <w:sz w:val="26"/>
          <w:szCs w:val="26"/>
          <w:lang w:val="pt-BR"/>
        </w:rPr>
        <w:t>, pessoa jurídica de direito público interno</w:t>
      </w:r>
      <w:r w:rsidR="0007696D">
        <w:rPr>
          <w:rFonts w:ascii="Tahoma" w:hAnsi="Tahoma" w:cs="Tahoma"/>
          <w:color w:val="000000" w:themeColor="text1"/>
          <w:sz w:val="26"/>
          <w:szCs w:val="26"/>
          <w:lang w:val="pt-BR"/>
        </w:rPr>
        <w:t xml:space="preserve"> já qualificado nos autos encimados, </w:t>
      </w:r>
      <w:r w:rsidRPr="00BE6497">
        <w:rPr>
          <w:rFonts w:ascii="Tahoma" w:hAnsi="Tahoma" w:cs="Tahoma"/>
          <w:color w:val="000000" w:themeColor="text1"/>
          <w:sz w:val="26"/>
          <w:szCs w:val="26"/>
          <w:lang w:val="pt-BR"/>
        </w:rPr>
        <w:t xml:space="preserve">vem perante Vossa Excelência por meio de seu </w:t>
      </w:r>
      <w:r w:rsidR="0007696D">
        <w:rPr>
          <w:rFonts w:ascii="Tahoma" w:hAnsi="Tahoma" w:cs="Tahoma"/>
          <w:color w:val="000000" w:themeColor="text1"/>
          <w:sz w:val="26"/>
          <w:szCs w:val="26"/>
          <w:lang w:val="pt-BR"/>
        </w:rPr>
        <w:t>advogado municipal</w:t>
      </w:r>
      <w:r w:rsidRPr="00BE6497">
        <w:rPr>
          <w:rFonts w:ascii="Tahoma" w:hAnsi="Tahoma" w:cs="Tahoma"/>
          <w:color w:val="000000" w:themeColor="text1"/>
          <w:sz w:val="26"/>
          <w:szCs w:val="26"/>
          <w:lang w:val="pt-BR"/>
        </w:rPr>
        <w:t xml:space="preserve"> que ao final subscreve, </w:t>
      </w:r>
      <w:r w:rsidR="00F74B7A">
        <w:rPr>
          <w:rFonts w:ascii="Tahoma" w:hAnsi="Tahoma" w:cs="Tahoma"/>
          <w:color w:val="000000" w:themeColor="text1"/>
          <w:sz w:val="26"/>
          <w:szCs w:val="26"/>
          <w:lang w:val="pt-BR"/>
        </w:rPr>
        <w:t>apresentar</w:t>
      </w:r>
      <w:r w:rsidR="00F16FA0">
        <w:rPr>
          <w:rFonts w:ascii="Tahoma" w:hAnsi="Tahoma" w:cs="Tahoma"/>
          <w:color w:val="000000" w:themeColor="text1"/>
          <w:sz w:val="26"/>
          <w:szCs w:val="26"/>
          <w:lang w:val="pt-BR"/>
        </w:rPr>
        <w:t>:</w:t>
      </w:r>
    </w:p>
    <w:p w:rsidR="00F16FA0" w:rsidRPr="00F16FA0" w:rsidRDefault="00F74B7A" w:rsidP="00F16FA0">
      <w:pPr>
        <w:spacing w:before="240" w:after="240" w:line="276" w:lineRule="auto"/>
        <w:jc w:val="center"/>
        <w:rPr>
          <w:rFonts w:ascii="Algerian" w:hAnsi="Algerian" w:cs="Tahoma"/>
          <w:b/>
          <w:color w:val="000000" w:themeColor="text1"/>
          <w:sz w:val="36"/>
          <w:szCs w:val="26"/>
          <w:lang w:val="pt-BR"/>
        </w:rPr>
      </w:pPr>
      <w:r>
        <w:rPr>
          <w:rFonts w:ascii="Algerian" w:hAnsi="Algerian"/>
          <w:b/>
          <w:spacing w:val="2"/>
          <w:sz w:val="40"/>
          <w:szCs w:val="30"/>
          <w:shd w:val="clear" w:color="auto" w:fill="FFFFFF"/>
          <w:lang w:val="pt-BR"/>
        </w:rPr>
        <w:t>EXCEÇÃO DE PRÉ-EXECUTIVIDADE</w:t>
      </w:r>
    </w:p>
    <w:p w:rsidR="00F16FA0" w:rsidRDefault="00F74B7A" w:rsidP="00653EDF">
      <w:pPr>
        <w:spacing w:before="240" w:after="240" w:line="276" w:lineRule="auto"/>
        <w:ind w:firstLine="1701"/>
        <w:jc w:val="both"/>
        <w:rPr>
          <w:rFonts w:ascii="Tahoma" w:hAnsi="Tahoma" w:cs="Tahoma"/>
          <w:color w:val="000000" w:themeColor="text1"/>
          <w:sz w:val="26"/>
          <w:szCs w:val="26"/>
          <w:lang w:val="pt-BR"/>
        </w:rPr>
      </w:pPr>
      <w:r>
        <w:rPr>
          <w:rFonts w:ascii="Tahoma" w:hAnsi="Tahoma" w:cs="Tahoma"/>
          <w:color w:val="000000" w:themeColor="text1"/>
          <w:sz w:val="26"/>
          <w:szCs w:val="26"/>
          <w:lang w:val="pt-BR"/>
        </w:rPr>
        <w:t xml:space="preserve">Em desfavor de ITAMAR DE AZEVEDO LINO, </w:t>
      </w:r>
      <w:r w:rsidR="00F16FA0" w:rsidRPr="00D86319">
        <w:rPr>
          <w:rFonts w:ascii="Tahoma" w:hAnsi="Tahoma" w:cs="Tahoma"/>
          <w:color w:val="000000" w:themeColor="text1"/>
          <w:sz w:val="26"/>
          <w:szCs w:val="26"/>
          <w:lang w:val="pt-BR"/>
        </w:rPr>
        <w:t>pelas razões e fundamentos a seguir expostos:</w:t>
      </w:r>
    </w:p>
    <w:p w:rsidR="00F74B7A" w:rsidRPr="002762EF" w:rsidRDefault="00F74B7A" w:rsidP="00F74B7A">
      <w:pPr>
        <w:pStyle w:val="Recuodecorpodetexto21"/>
        <w:spacing w:line="386" w:lineRule="atLeast"/>
        <w:ind w:firstLine="0"/>
        <w:rPr>
          <w:rFonts w:ascii="Tahoma" w:hAnsi="Tahoma" w:cs="Tahoma"/>
          <w:b/>
          <w:szCs w:val="22"/>
        </w:rPr>
      </w:pPr>
      <w:bookmarkStart w:id="0" w:name="_GoBack"/>
      <w:bookmarkEnd w:id="0"/>
    </w:p>
    <w:p w:rsidR="00F74B7A" w:rsidRPr="008D1FCA" w:rsidRDefault="00F74B7A" w:rsidP="00F74B7A">
      <w:pPr>
        <w:pStyle w:val="Standard"/>
        <w:spacing w:before="240" w:after="240"/>
        <w:jc w:val="both"/>
        <w:rPr>
          <w:rFonts w:ascii="Tahoma" w:hAnsi="Tahoma" w:cs="Tahoma"/>
          <w:b/>
          <w:sz w:val="36"/>
          <w:szCs w:val="28"/>
          <w:u w:val="single"/>
        </w:rPr>
      </w:pPr>
      <w:r w:rsidRPr="008D1FCA">
        <w:rPr>
          <w:rFonts w:ascii="Tahoma" w:hAnsi="Tahoma" w:cs="Tahoma"/>
          <w:b/>
          <w:sz w:val="36"/>
          <w:szCs w:val="28"/>
          <w:u w:val="single"/>
        </w:rPr>
        <w:t>DO CABIMENTO DA EXCEÇÃO DE PRÉ-EXECUTIVIDADE</w:t>
      </w:r>
    </w:p>
    <w:p w:rsidR="00F74B7A" w:rsidRPr="00CF7372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 w:rsidRPr="00CF7372">
        <w:rPr>
          <w:rFonts w:ascii="Tahoma" w:hAnsi="Tahoma" w:cs="Tahoma"/>
          <w:sz w:val="28"/>
          <w:szCs w:val="28"/>
        </w:rPr>
        <w:t xml:space="preserve">Conforme construção doutrinária e entendimento jurisprudencial, o instituto da Exceção de </w:t>
      </w:r>
      <w:proofErr w:type="spellStart"/>
      <w:r w:rsidRPr="00CF7372">
        <w:rPr>
          <w:rFonts w:ascii="Tahoma" w:hAnsi="Tahoma" w:cs="Tahoma"/>
          <w:sz w:val="28"/>
          <w:szCs w:val="28"/>
        </w:rPr>
        <w:t>Pré</w:t>
      </w:r>
      <w:proofErr w:type="spellEnd"/>
      <w:r w:rsidRPr="00CF7372">
        <w:rPr>
          <w:rFonts w:ascii="Tahoma" w:hAnsi="Tahoma" w:cs="Tahoma"/>
          <w:sz w:val="28"/>
          <w:szCs w:val="28"/>
        </w:rPr>
        <w:t xml:space="preserve">-Executividade, pode ser arguido por simples petição, desde que desnecessária qualquer dilação probatória, ou seja, por prova documental inequívoca, demonstrando a inviabilidade da Execução. Nesse sentido vejamos o elucidado por José Manoel De Arruda Alvim Neto a respeito da exceção de </w:t>
      </w:r>
      <w:proofErr w:type="spellStart"/>
      <w:r w:rsidRPr="00CF7372">
        <w:rPr>
          <w:rFonts w:ascii="Tahoma" w:hAnsi="Tahoma" w:cs="Tahoma"/>
          <w:sz w:val="28"/>
          <w:szCs w:val="28"/>
        </w:rPr>
        <w:t>pré</w:t>
      </w:r>
      <w:proofErr w:type="spellEnd"/>
      <w:r w:rsidRPr="00CF7372">
        <w:rPr>
          <w:rFonts w:ascii="Tahoma" w:hAnsi="Tahoma" w:cs="Tahoma"/>
          <w:sz w:val="28"/>
          <w:szCs w:val="28"/>
        </w:rPr>
        <w:t xml:space="preserve">-executividade, in </w:t>
      </w:r>
      <w:proofErr w:type="spellStart"/>
      <w:r w:rsidRPr="00CF7372">
        <w:rPr>
          <w:rFonts w:ascii="Tahoma" w:hAnsi="Tahoma" w:cs="Tahoma"/>
          <w:sz w:val="28"/>
          <w:szCs w:val="28"/>
        </w:rPr>
        <w:t>verbis</w:t>
      </w:r>
      <w:proofErr w:type="spellEnd"/>
      <w:r w:rsidRPr="00CF7372">
        <w:rPr>
          <w:rFonts w:ascii="Tahoma" w:hAnsi="Tahoma" w:cs="Tahoma"/>
          <w:sz w:val="28"/>
          <w:szCs w:val="28"/>
        </w:rPr>
        <w:t>:</w:t>
      </w:r>
    </w:p>
    <w:p w:rsidR="00F74B7A" w:rsidRPr="00CF7372" w:rsidRDefault="00F74B7A" w:rsidP="00F74B7A">
      <w:pPr>
        <w:pStyle w:val="Standard"/>
        <w:spacing w:before="240" w:after="240"/>
        <w:ind w:left="1701"/>
        <w:jc w:val="both"/>
        <w:rPr>
          <w:rFonts w:ascii="Tahoma" w:hAnsi="Tahoma" w:cs="Tahoma"/>
          <w:sz w:val="22"/>
          <w:szCs w:val="22"/>
        </w:rPr>
      </w:pPr>
      <w:r w:rsidRPr="00CF7372">
        <w:rPr>
          <w:rFonts w:ascii="Tahoma" w:hAnsi="Tahoma" w:cs="Tahoma"/>
          <w:sz w:val="22"/>
          <w:szCs w:val="22"/>
        </w:rPr>
        <w:lastRenderedPageBreak/>
        <w:t xml:space="preserve">“Técnica pela qual o executado, no curso do próprio procedimento executivo, e sem a necessidade de observância dos requisitos necessários aos embargos do devedor ou da impugnação, suscita alguma questão relativa à admissibilidade ou à validade dos atos executivos, que poderia ser conhecida de ofício pelo juiz. Para tanto, exige, a jurisprudência, que a questão a ser suscitada esteja dentre aquelas que poderia ser conhecidas </w:t>
      </w:r>
      <w:proofErr w:type="spellStart"/>
      <w:r w:rsidRPr="00CF7372">
        <w:rPr>
          <w:rFonts w:ascii="Tahoma" w:hAnsi="Tahoma" w:cs="Tahoma"/>
          <w:sz w:val="22"/>
          <w:szCs w:val="22"/>
        </w:rPr>
        <w:t>ex</w:t>
      </w:r>
      <w:proofErr w:type="spellEnd"/>
      <w:r w:rsidRPr="00CF737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F7372">
        <w:rPr>
          <w:rFonts w:ascii="Tahoma" w:hAnsi="Tahoma" w:cs="Tahoma"/>
          <w:sz w:val="22"/>
          <w:szCs w:val="22"/>
        </w:rPr>
        <w:t>officio</w:t>
      </w:r>
      <w:proofErr w:type="spellEnd"/>
      <w:r w:rsidRPr="00CF7372">
        <w:rPr>
          <w:rFonts w:ascii="Tahoma" w:hAnsi="Tahoma" w:cs="Tahoma"/>
          <w:sz w:val="22"/>
          <w:szCs w:val="22"/>
        </w:rPr>
        <w:t xml:space="preserve"> pelo juiz, e que, ademais, não seja necessária dilação probatória para sua solução. Caso contrário, ausente alguma dessas condições, não se admite alegação da matéria pela via da exceção de </w:t>
      </w:r>
      <w:proofErr w:type="spellStart"/>
      <w:r w:rsidRPr="00CF7372">
        <w:rPr>
          <w:rFonts w:ascii="Tahoma" w:hAnsi="Tahoma" w:cs="Tahoma"/>
          <w:sz w:val="22"/>
          <w:szCs w:val="22"/>
        </w:rPr>
        <w:t>pré</w:t>
      </w:r>
      <w:proofErr w:type="spellEnd"/>
      <w:r w:rsidRPr="00CF7372">
        <w:rPr>
          <w:rFonts w:ascii="Tahoma" w:hAnsi="Tahoma" w:cs="Tahoma"/>
          <w:sz w:val="22"/>
          <w:szCs w:val="22"/>
        </w:rPr>
        <w:t>-executividade, cabendo, ao devedor, manejar embargos ou impugnação”</w:t>
      </w:r>
      <w:r>
        <w:rPr>
          <w:rStyle w:val="Refdenotaderodap"/>
          <w:rFonts w:ascii="Tahoma" w:hAnsi="Tahoma" w:cs="Tahoma"/>
          <w:sz w:val="22"/>
          <w:szCs w:val="22"/>
        </w:rPr>
        <w:footnoteReference w:id="1"/>
      </w:r>
      <w:r>
        <w:rPr>
          <w:rFonts w:ascii="Tahoma" w:hAnsi="Tahoma" w:cs="Tahoma"/>
          <w:sz w:val="22"/>
          <w:szCs w:val="22"/>
        </w:rPr>
        <w:t>.</w:t>
      </w:r>
      <w:r w:rsidRPr="00CF7372">
        <w:rPr>
          <w:rFonts w:ascii="Tahoma" w:hAnsi="Tahoma" w:cs="Tahoma"/>
          <w:sz w:val="22"/>
          <w:szCs w:val="22"/>
        </w:rPr>
        <w:t xml:space="preserve"> </w:t>
      </w:r>
    </w:p>
    <w:p w:rsidR="00F74B7A" w:rsidRPr="00CF7372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 w:rsidRPr="00CF7372">
        <w:rPr>
          <w:rFonts w:ascii="Tahoma" w:hAnsi="Tahoma" w:cs="Tahoma"/>
          <w:sz w:val="28"/>
          <w:szCs w:val="28"/>
        </w:rPr>
        <w:t>E são exatamente esses os requisitos atualmente exigidos pela jurisprudência do STJ após a vigência do </w:t>
      </w:r>
      <w:hyperlink r:id="rId8" w:tooltip="LEI Nº 13.105, DE 16 DE MARÇO DE 2015." w:history="1">
        <w:r w:rsidRPr="00CF7372">
          <w:rPr>
            <w:rFonts w:ascii="Tahoma" w:hAnsi="Tahoma" w:cs="Tahoma"/>
            <w:sz w:val="28"/>
            <w:szCs w:val="28"/>
          </w:rPr>
          <w:t>NCPC</w:t>
        </w:r>
      </w:hyperlink>
      <w:r w:rsidRPr="00CF7372">
        <w:rPr>
          <w:rFonts w:ascii="Tahoma" w:hAnsi="Tahoma" w:cs="Tahoma"/>
          <w:sz w:val="28"/>
          <w:szCs w:val="28"/>
        </w:rPr>
        <w:t xml:space="preserve">, conforme entendimento no </w:t>
      </w:r>
      <w:proofErr w:type="spellStart"/>
      <w:r w:rsidRPr="00CF7372">
        <w:rPr>
          <w:rFonts w:ascii="Tahoma" w:hAnsi="Tahoma" w:cs="Tahoma"/>
          <w:sz w:val="28"/>
          <w:szCs w:val="28"/>
        </w:rPr>
        <w:t>AgRg</w:t>
      </w:r>
      <w:proofErr w:type="spellEnd"/>
      <w:r w:rsidRPr="00CF7372">
        <w:rPr>
          <w:rFonts w:ascii="Tahoma" w:hAnsi="Tahoma" w:cs="Tahoma"/>
          <w:sz w:val="28"/>
          <w:szCs w:val="28"/>
        </w:rPr>
        <w:t xml:space="preserve"> no </w:t>
      </w:r>
      <w:proofErr w:type="spellStart"/>
      <w:r w:rsidRPr="00CF7372">
        <w:rPr>
          <w:rFonts w:ascii="Tahoma" w:hAnsi="Tahoma" w:cs="Tahoma"/>
          <w:sz w:val="28"/>
          <w:szCs w:val="28"/>
        </w:rPr>
        <w:t>AREsp</w:t>
      </w:r>
      <w:proofErr w:type="spellEnd"/>
      <w:r w:rsidRPr="00CF7372">
        <w:rPr>
          <w:rFonts w:ascii="Tahoma" w:hAnsi="Tahoma" w:cs="Tahoma"/>
          <w:sz w:val="28"/>
          <w:szCs w:val="28"/>
        </w:rPr>
        <w:t xml:space="preserve"> 835.917/SP e </w:t>
      </w:r>
      <w:proofErr w:type="spellStart"/>
      <w:r w:rsidRPr="00CF7372">
        <w:rPr>
          <w:rFonts w:ascii="Tahoma" w:hAnsi="Tahoma" w:cs="Tahoma"/>
          <w:sz w:val="28"/>
          <w:szCs w:val="28"/>
        </w:rPr>
        <w:t>AgInt</w:t>
      </w:r>
      <w:proofErr w:type="spellEnd"/>
      <w:r w:rsidRPr="00CF7372">
        <w:rPr>
          <w:rFonts w:ascii="Tahoma" w:hAnsi="Tahoma" w:cs="Tahoma"/>
          <w:sz w:val="28"/>
          <w:szCs w:val="28"/>
        </w:rPr>
        <w:t xml:space="preserve"> no </w:t>
      </w:r>
      <w:proofErr w:type="spellStart"/>
      <w:r w:rsidRPr="00CF7372">
        <w:rPr>
          <w:rFonts w:ascii="Tahoma" w:hAnsi="Tahoma" w:cs="Tahoma"/>
          <w:sz w:val="28"/>
          <w:szCs w:val="28"/>
        </w:rPr>
        <w:t>AREsp</w:t>
      </w:r>
      <w:proofErr w:type="spellEnd"/>
      <w:r w:rsidRPr="00CF7372">
        <w:rPr>
          <w:rFonts w:ascii="Tahoma" w:hAnsi="Tahoma" w:cs="Tahoma"/>
          <w:sz w:val="28"/>
          <w:szCs w:val="28"/>
        </w:rPr>
        <w:t xml:space="preserve"> 621.011/MG.</w:t>
      </w:r>
    </w:p>
    <w:p w:rsidR="00F74B7A" w:rsidRPr="00CF7372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 w:rsidRPr="00CF7372">
        <w:rPr>
          <w:rFonts w:ascii="Tahoma" w:hAnsi="Tahoma" w:cs="Tahoma"/>
          <w:sz w:val="28"/>
          <w:szCs w:val="28"/>
        </w:rPr>
        <w:t xml:space="preserve">Pelo que se vislumbra no caso em tela, a presente exceção de </w:t>
      </w:r>
      <w:proofErr w:type="spellStart"/>
      <w:r w:rsidRPr="00CF7372">
        <w:rPr>
          <w:rFonts w:ascii="Tahoma" w:hAnsi="Tahoma" w:cs="Tahoma"/>
          <w:sz w:val="28"/>
          <w:szCs w:val="28"/>
        </w:rPr>
        <w:t>pré</w:t>
      </w:r>
      <w:proofErr w:type="spellEnd"/>
      <w:r w:rsidRPr="00CF7372">
        <w:rPr>
          <w:rFonts w:ascii="Tahoma" w:hAnsi="Tahoma" w:cs="Tahoma"/>
          <w:sz w:val="28"/>
          <w:szCs w:val="28"/>
        </w:rPr>
        <w:t>-executividade é o remédio jurídico adequado, para apontar as irregularidades, às quais viciam a continuidade da marcha processual da presente execução, como se restará demonstrado adiante.</w:t>
      </w:r>
    </w:p>
    <w:p w:rsidR="00F74B7A" w:rsidRPr="008D1FCA" w:rsidRDefault="00F74B7A" w:rsidP="00F74B7A">
      <w:pPr>
        <w:pStyle w:val="Standard"/>
        <w:spacing w:before="240" w:after="240"/>
        <w:jc w:val="both"/>
        <w:rPr>
          <w:rFonts w:ascii="Tahoma" w:hAnsi="Tahoma" w:cs="Tahoma"/>
          <w:b/>
          <w:sz w:val="36"/>
          <w:szCs w:val="28"/>
        </w:rPr>
      </w:pPr>
      <w:r w:rsidRPr="008D1FCA">
        <w:rPr>
          <w:rFonts w:ascii="Tahoma" w:hAnsi="Tahoma" w:cs="Tahoma"/>
          <w:b/>
          <w:sz w:val="36"/>
          <w:szCs w:val="28"/>
        </w:rPr>
        <w:t>DA NULIDADE DA EXECUÇÃO EM RAZÃO DE FALTA DE INTIMAÇÃO DA SENTENÇA – PATENTE CERCEAMENTO DE DEFESA – NULIDADE ABSOLUTA</w:t>
      </w:r>
    </w:p>
    <w:p w:rsidR="00F74B7A" w:rsidRPr="00CF7372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Pr="00CF7372">
        <w:rPr>
          <w:rFonts w:ascii="Tahoma" w:hAnsi="Tahoma" w:cs="Tahoma"/>
          <w:sz w:val="28"/>
          <w:szCs w:val="28"/>
        </w:rPr>
        <w:t xml:space="preserve"> exceção de </w:t>
      </w:r>
      <w:proofErr w:type="spellStart"/>
      <w:r w:rsidRPr="00CF7372">
        <w:rPr>
          <w:rFonts w:ascii="Tahoma" w:hAnsi="Tahoma" w:cs="Tahoma"/>
          <w:sz w:val="28"/>
          <w:szCs w:val="28"/>
        </w:rPr>
        <w:t>pré</w:t>
      </w:r>
      <w:proofErr w:type="spellEnd"/>
      <w:r w:rsidRPr="00CF7372">
        <w:rPr>
          <w:rFonts w:ascii="Tahoma" w:hAnsi="Tahoma" w:cs="Tahoma"/>
          <w:sz w:val="28"/>
          <w:szCs w:val="28"/>
        </w:rPr>
        <w:t>-executividade é medida excepcional, ou seja, possui matéria de cunho restrito, que não comporta dilação probatória, sendo ônus de a parte subsidiar materialmente o pronto convencimento do Magistrado acerca do cabimento da exceção apresentada.</w:t>
      </w:r>
    </w:p>
    <w:p w:rsidR="00F74B7A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 w:rsidRPr="00CF7372">
        <w:rPr>
          <w:rFonts w:ascii="Tahoma" w:hAnsi="Tahoma" w:cs="Tahoma"/>
          <w:sz w:val="28"/>
          <w:szCs w:val="28"/>
        </w:rPr>
        <w:t>No caso dos autos,</w:t>
      </w:r>
      <w:r>
        <w:rPr>
          <w:rFonts w:ascii="Tahoma" w:hAnsi="Tahoma" w:cs="Tahoma"/>
          <w:sz w:val="28"/>
          <w:szCs w:val="28"/>
        </w:rPr>
        <w:t xml:space="preserve"> a parte exequente executa título oriundo de agiotagem, conforme prova anexa, razão pela qual tal título não apresenta o atributo de certeza, capaz de ensejar a ação executória, sendo portanto, nulo e inexequível.</w:t>
      </w:r>
    </w:p>
    <w:p w:rsidR="00F74B7A" w:rsidRPr="008D1FCA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 w:rsidRPr="008D1FCA">
        <w:rPr>
          <w:rFonts w:ascii="Tahoma" w:hAnsi="Tahoma" w:cs="Tahoma"/>
          <w:sz w:val="28"/>
          <w:szCs w:val="28"/>
        </w:rPr>
        <w:t>Destarte, face a análise da prova supramencionada, imperiosa a manutenç</w:t>
      </w:r>
      <w:r>
        <w:rPr>
          <w:rFonts w:ascii="Tahoma" w:hAnsi="Tahoma" w:cs="Tahoma"/>
          <w:sz w:val="28"/>
          <w:szCs w:val="28"/>
        </w:rPr>
        <w:t>ão da declaração de nulidade da cártula que embasa</w:t>
      </w:r>
      <w:r w:rsidRPr="008D1FCA">
        <w:rPr>
          <w:rFonts w:ascii="Tahoma" w:hAnsi="Tahoma" w:cs="Tahoma"/>
          <w:sz w:val="28"/>
          <w:szCs w:val="28"/>
        </w:rPr>
        <w:t xml:space="preserve"> a demanda, com base no artigo 1º da Medida Pr</w:t>
      </w:r>
      <w:r>
        <w:rPr>
          <w:rFonts w:ascii="Tahoma" w:hAnsi="Tahoma" w:cs="Tahoma"/>
          <w:sz w:val="28"/>
          <w:szCs w:val="28"/>
        </w:rPr>
        <w:t xml:space="preserve">ovisória </w:t>
      </w:r>
      <w:r w:rsidRPr="008D1FCA">
        <w:rPr>
          <w:rFonts w:ascii="Tahoma" w:hAnsi="Tahoma" w:cs="Tahoma"/>
          <w:sz w:val="28"/>
          <w:szCs w:val="28"/>
        </w:rPr>
        <w:t>Nº 2.172-32/01, vejamos:</w:t>
      </w:r>
    </w:p>
    <w:p w:rsidR="00F74B7A" w:rsidRPr="008D1FCA" w:rsidRDefault="00F74B7A" w:rsidP="00F74B7A">
      <w:pPr>
        <w:pStyle w:val="Citao0"/>
        <w:ind w:left="1701"/>
        <w:rPr>
          <w:sz w:val="28"/>
        </w:rPr>
      </w:pPr>
      <w:r w:rsidRPr="008D1FCA">
        <w:rPr>
          <w:sz w:val="28"/>
        </w:rPr>
        <w:t xml:space="preserve">Art. 1º. </w:t>
      </w:r>
      <w:r w:rsidRPr="008D1FCA">
        <w:rPr>
          <w:b/>
          <w:sz w:val="28"/>
        </w:rPr>
        <w:t>São nulas de pleno direito as estipulações usurárias, assim consideradas as que estabeleçam</w:t>
      </w:r>
      <w:r w:rsidRPr="008D1FCA">
        <w:rPr>
          <w:sz w:val="28"/>
        </w:rPr>
        <w:t>:</w:t>
      </w:r>
    </w:p>
    <w:p w:rsidR="00F74B7A" w:rsidRPr="008D1FCA" w:rsidRDefault="00F74B7A" w:rsidP="00F74B7A">
      <w:pPr>
        <w:pStyle w:val="Citao0"/>
        <w:ind w:left="1701"/>
        <w:rPr>
          <w:sz w:val="28"/>
        </w:rPr>
      </w:pPr>
      <w:r w:rsidRPr="008D1FCA">
        <w:rPr>
          <w:sz w:val="28"/>
        </w:rPr>
        <w:lastRenderedPageBreak/>
        <w:t>I - nos contratos civis de mútuo, taxas de juros superiores às legalmente permitidas, caso em que deverá o juiz, se requerido, ajustá-las à medida legal ou, na hipótese de já terem sido cumpridas, ordenar a restituição, em dobro, da quantia paga em excesso, com juros legais a contar da data do pagamento indevido;</w:t>
      </w:r>
    </w:p>
    <w:p w:rsidR="00F74B7A" w:rsidRPr="008D1FCA" w:rsidRDefault="00F74B7A" w:rsidP="00F74B7A">
      <w:pPr>
        <w:pStyle w:val="Citao0"/>
        <w:ind w:left="1701"/>
        <w:rPr>
          <w:sz w:val="28"/>
        </w:rPr>
      </w:pPr>
      <w:r w:rsidRPr="008D1FCA">
        <w:rPr>
          <w:sz w:val="28"/>
        </w:rPr>
        <w:t xml:space="preserve">II - </w:t>
      </w:r>
      <w:r w:rsidRPr="008D1FCA">
        <w:rPr>
          <w:b/>
          <w:sz w:val="28"/>
        </w:rPr>
        <w:t>nos negócios jurídicos não disciplinados pelas legislações comercial e de defesa do consumidor, lucros ou vantagens patrimoniais excessivos,</w:t>
      </w:r>
      <w:r w:rsidRPr="008D1FCA">
        <w:rPr>
          <w:sz w:val="28"/>
        </w:rPr>
        <w:t xml:space="preserve"> estipulados em situação de vulnerabilidade da parte, caso em que deverá o juiz, se requerido, restabelecer o equilíbrio da relação contratual, ajustando-os ao valor corrente, ou, na hipótese de cumprimento da obrigação, ordenar a restituição, em dobro, da quantia recebida em excesso, com juros legais a contar da data</w:t>
      </w:r>
      <w:r>
        <w:rPr>
          <w:sz w:val="28"/>
        </w:rPr>
        <w:t xml:space="preserve"> do pagamento indevido, (...)</w:t>
      </w:r>
      <w:r w:rsidRPr="008D1FCA">
        <w:rPr>
          <w:sz w:val="28"/>
        </w:rPr>
        <w:t>.</w:t>
      </w:r>
    </w:p>
    <w:p w:rsidR="00F74B7A" w:rsidRPr="00CD4CDF" w:rsidRDefault="00F74B7A" w:rsidP="00F74B7A">
      <w:pPr>
        <w:pStyle w:val="PargrafoNormal"/>
        <w:rPr>
          <w:szCs w:val="22"/>
        </w:rPr>
      </w:pPr>
    </w:p>
    <w:p w:rsidR="00F74B7A" w:rsidRPr="008D1FCA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 w:rsidRPr="008D1FCA">
        <w:rPr>
          <w:rFonts w:ascii="Tahoma" w:hAnsi="Tahoma" w:cs="Tahoma"/>
          <w:sz w:val="28"/>
          <w:szCs w:val="28"/>
        </w:rPr>
        <w:t>Não é demais lembrar que no Brasil, assim como de resto em todo o mundo ocidental, o empréstimo de dinheiro e a aplicação de recursos financeiros mediante remuneração, é atividade controlada pelo Poder Público, autorizada com exclusividade para as instituições financeiras que são (ou deveriam ser) rigorosamente fiscalizadas.</w:t>
      </w:r>
    </w:p>
    <w:p w:rsidR="00F74B7A" w:rsidRPr="008D1FCA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 w:rsidRPr="008D1FCA">
        <w:rPr>
          <w:rFonts w:ascii="Tahoma" w:hAnsi="Tahoma" w:cs="Tahoma"/>
          <w:sz w:val="28"/>
          <w:szCs w:val="28"/>
        </w:rPr>
        <w:t>Assim sendo, a prática de empréstimo de dinheiro entre particulares, salvo seja de favor ou comprovada alguma razão de ser especial, é vedada por nosso ordenamento jurídico. Não há prova alguma nos autos de parentesco ou outra razão especial para o alegado empréstimo de “favor”</w:t>
      </w:r>
      <w:r>
        <w:rPr>
          <w:rFonts w:ascii="Tahoma" w:hAnsi="Tahoma" w:cs="Tahoma"/>
          <w:sz w:val="28"/>
          <w:szCs w:val="28"/>
        </w:rPr>
        <w:t xml:space="preserve"> do executado</w:t>
      </w:r>
      <w:r w:rsidRPr="008D1FCA">
        <w:rPr>
          <w:rFonts w:ascii="Tahoma" w:hAnsi="Tahoma" w:cs="Tahoma"/>
          <w:sz w:val="28"/>
          <w:szCs w:val="28"/>
        </w:rPr>
        <w:t>.</w:t>
      </w:r>
    </w:p>
    <w:p w:rsidR="00F74B7A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Nesse sentido:</w:t>
      </w:r>
    </w:p>
    <w:p w:rsidR="00F74B7A" w:rsidRDefault="00F74B7A" w:rsidP="00F74B7A">
      <w:pPr>
        <w:pStyle w:val="Standard"/>
        <w:spacing w:before="240" w:after="240"/>
        <w:ind w:left="1843"/>
        <w:jc w:val="both"/>
        <w:rPr>
          <w:rFonts w:ascii="Tahoma" w:hAnsi="Tahoma" w:cs="Tahoma"/>
          <w:sz w:val="28"/>
          <w:szCs w:val="28"/>
        </w:rPr>
      </w:pPr>
      <w:r w:rsidRPr="00F64636">
        <w:rPr>
          <w:rFonts w:ascii="Tahoma" w:hAnsi="Tahoma" w:cs="Tahoma"/>
          <w:sz w:val="28"/>
          <w:szCs w:val="28"/>
        </w:rPr>
        <w:t xml:space="preserve">DIREITO CIVIL E PROCESSUAL CIVIL. EMBARGOS À EXECUÇÃO. PENHORA SOBRE BEM HIPOTECADO. POSSIBILIDADE. NULIDADE DA EXECUÇÃO. CHEQUES ORIUNDOS DA PRÁTICA DE AGIOTAGEM. COMPROVAÇÃO. 01.A JURISPRUDÊNCIA É ASSENTE QUANTO À POSSIBILIDADE DE SE PENHORAR IMÓVEL HIPOTECADO, DESDE QUE GARANTIDO O DIREITO DE PRELAÇÃO DO CREDOR HIPOTECÁRIO. 02.AINDA QUE NÃO FOSSE POSSÍVEL </w:t>
      </w:r>
      <w:r w:rsidRPr="00F64636">
        <w:rPr>
          <w:rFonts w:ascii="Tahoma" w:hAnsi="Tahoma" w:cs="Tahoma"/>
          <w:sz w:val="28"/>
          <w:szCs w:val="28"/>
        </w:rPr>
        <w:lastRenderedPageBreak/>
        <w:t>A PENHORA EFETUADA NOS PRESENTES AUTOS, SOBRELEVA ASSINALAR QUE O FATO RELATIVO À EXISTÊNCIA DE HIPOTECA SOBRE O IMÓVEL NÃO CONSTITUI FATO SUPERVENIENTE À PROLAÇÃO DA SENTENÇA, PORQUANTO O EMBARGADO TOMOU CIÊNCIA DO GRAVAME QUE RECAÍA SOBRE O BEM PENHORADO. 03.</w:t>
      </w:r>
      <w:r>
        <w:rPr>
          <w:rFonts w:ascii="Tahoma" w:hAnsi="Tahoma" w:cs="Tahoma"/>
          <w:sz w:val="28"/>
          <w:szCs w:val="28"/>
        </w:rPr>
        <w:t xml:space="preserve"> </w:t>
      </w:r>
      <w:r w:rsidRPr="00F64636">
        <w:rPr>
          <w:rFonts w:ascii="Tahoma" w:hAnsi="Tahoma" w:cs="Tahoma"/>
          <w:b/>
          <w:sz w:val="28"/>
          <w:szCs w:val="28"/>
          <w:u w:val="single"/>
        </w:rPr>
        <w:t>OS TÍTULOS EXEQÜENDOS NÃO APRESENTAM O ATRIBUTO DE CERTEZA, HÁBIL A LEGITIMAR A EXECUÇÃO, PORTANTO, O CRÉDITO DO EMBARGADO/APELANTE DECORRE DE PRÁTICA DE AGIOTAGEM, IMPONDO-SE A NULIDADE DA AÇÃO EXECUTIVA, EM RAZÃO DE SEU OBJETO ILÍCITO</w:t>
      </w:r>
      <w:r w:rsidRPr="00F64636">
        <w:rPr>
          <w:rFonts w:ascii="Tahoma" w:hAnsi="Tahoma" w:cs="Tahoma"/>
          <w:sz w:val="28"/>
          <w:szCs w:val="28"/>
        </w:rPr>
        <w:t xml:space="preserve">. 04.RECURSO CONHECIDO E NÃO PROVIDO. (TJ-DF - APC: 20020110096003 DF, Relator: NÍDIA CORRÊA LIMA, Data de Julgamento: 12/03/2008, 3ª Turma Cível, Data de Publicação: DJU 27/03/2008 </w:t>
      </w:r>
      <w:proofErr w:type="gramStart"/>
      <w:r w:rsidRPr="00F64636">
        <w:rPr>
          <w:rFonts w:ascii="Tahoma" w:hAnsi="Tahoma" w:cs="Tahoma"/>
          <w:sz w:val="28"/>
          <w:szCs w:val="28"/>
        </w:rPr>
        <w:t>Pág. :</w:t>
      </w:r>
      <w:proofErr w:type="gramEnd"/>
      <w:r w:rsidRPr="00F64636">
        <w:rPr>
          <w:rFonts w:ascii="Tahoma" w:hAnsi="Tahoma" w:cs="Tahoma"/>
          <w:sz w:val="28"/>
          <w:szCs w:val="28"/>
        </w:rPr>
        <w:t xml:space="preserve"> 40)</w:t>
      </w:r>
    </w:p>
    <w:p w:rsidR="00F74B7A" w:rsidRDefault="00F74B7A" w:rsidP="00F74B7A">
      <w:pPr>
        <w:pStyle w:val="Standard"/>
        <w:spacing w:before="240" w:after="240"/>
        <w:ind w:left="1843"/>
        <w:jc w:val="both"/>
        <w:rPr>
          <w:rFonts w:ascii="Tahoma" w:hAnsi="Tahoma" w:cs="Tahoma"/>
          <w:sz w:val="28"/>
          <w:szCs w:val="28"/>
        </w:rPr>
      </w:pPr>
      <w:r w:rsidRPr="00CE1BF5">
        <w:rPr>
          <w:rFonts w:ascii="Tahoma" w:hAnsi="Tahoma" w:cs="Tahoma"/>
          <w:sz w:val="28"/>
          <w:szCs w:val="28"/>
        </w:rPr>
        <w:t xml:space="preserve">APELAÇÃO CÍVEL. AÇÃO MONITÓRIA. PRELIMINAR DE NULIDADE DA SENTENÇA, POR VÍCIO EXTRA </w:t>
      </w:r>
      <w:proofErr w:type="gramStart"/>
      <w:r w:rsidRPr="00CE1BF5">
        <w:rPr>
          <w:rFonts w:ascii="Tahoma" w:hAnsi="Tahoma" w:cs="Tahoma"/>
          <w:sz w:val="28"/>
          <w:szCs w:val="28"/>
        </w:rPr>
        <w:t>PETITA ,</w:t>
      </w:r>
      <w:proofErr w:type="gramEnd"/>
      <w:r w:rsidRPr="00CE1BF5">
        <w:rPr>
          <w:rFonts w:ascii="Tahoma" w:hAnsi="Tahoma" w:cs="Tahoma"/>
          <w:sz w:val="28"/>
          <w:szCs w:val="28"/>
        </w:rPr>
        <w:t xml:space="preserve"> AFASTADA. Os pedidos formulados devem ser examinados a partir de uma interpretação lógico-sistemática, não podendo o magistrado se esquivar da análise ampla e detida da relação jurídica posta, mesmo porque a obrigatória adstrição do julgador ao pedido expressamente formulado pelo autor pode ser mitigada em observância aos brocardos da </w:t>
      </w:r>
      <w:proofErr w:type="spellStart"/>
      <w:r w:rsidRPr="00CE1BF5">
        <w:rPr>
          <w:rFonts w:ascii="Tahoma" w:hAnsi="Tahoma" w:cs="Tahoma"/>
          <w:sz w:val="28"/>
          <w:szCs w:val="28"/>
        </w:rPr>
        <w:t>mihi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E1BF5">
        <w:rPr>
          <w:rFonts w:ascii="Tahoma" w:hAnsi="Tahoma" w:cs="Tahoma"/>
          <w:sz w:val="28"/>
          <w:szCs w:val="28"/>
        </w:rPr>
        <w:t>factum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E1BF5">
        <w:rPr>
          <w:rFonts w:ascii="Tahoma" w:hAnsi="Tahoma" w:cs="Tahoma"/>
          <w:sz w:val="28"/>
          <w:szCs w:val="28"/>
        </w:rPr>
        <w:t>dabo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E1BF5">
        <w:rPr>
          <w:rFonts w:ascii="Tahoma" w:hAnsi="Tahoma" w:cs="Tahoma"/>
          <w:sz w:val="28"/>
          <w:szCs w:val="28"/>
        </w:rPr>
        <w:t>tibi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E1BF5">
        <w:rPr>
          <w:rFonts w:ascii="Tahoma" w:hAnsi="Tahoma" w:cs="Tahoma"/>
          <w:sz w:val="28"/>
          <w:szCs w:val="28"/>
        </w:rPr>
        <w:t>ius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(dá-me os fatos que te darei o direito) e </w:t>
      </w:r>
      <w:proofErr w:type="spellStart"/>
      <w:r w:rsidRPr="00CE1BF5">
        <w:rPr>
          <w:rFonts w:ascii="Tahoma" w:hAnsi="Tahoma" w:cs="Tahoma"/>
          <w:sz w:val="28"/>
          <w:szCs w:val="28"/>
        </w:rPr>
        <w:t>iura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E1BF5">
        <w:rPr>
          <w:rFonts w:ascii="Tahoma" w:hAnsi="Tahoma" w:cs="Tahoma"/>
          <w:sz w:val="28"/>
          <w:szCs w:val="28"/>
        </w:rPr>
        <w:t>novit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E1BF5">
        <w:rPr>
          <w:rFonts w:ascii="Tahoma" w:hAnsi="Tahoma" w:cs="Tahoma"/>
          <w:sz w:val="28"/>
          <w:szCs w:val="28"/>
        </w:rPr>
        <w:t>curia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(o juiz é quem conhece o direito</w:t>
      </w:r>
      <w:proofErr w:type="gramStart"/>
      <w:r w:rsidRPr="00CE1BF5">
        <w:rPr>
          <w:rFonts w:ascii="Tahoma" w:hAnsi="Tahoma" w:cs="Tahoma"/>
          <w:sz w:val="28"/>
          <w:szCs w:val="28"/>
        </w:rPr>
        <w:t>).(</w:t>
      </w:r>
      <w:proofErr w:type="spellStart"/>
      <w:proofErr w:type="gramEnd"/>
      <w:r w:rsidRPr="00CE1BF5">
        <w:rPr>
          <w:rFonts w:ascii="Tahoma" w:hAnsi="Tahoma" w:cs="Tahoma"/>
          <w:sz w:val="28"/>
          <w:szCs w:val="28"/>
        </w:rPr>
        <w:t>Resp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1.605.466/SP). </w:t>
      </w:r>
      <w:r w:rsidRPr="00CE1BF5">
        <w:rPr>
          <w:rFonts w:ascii="Tahoma" w:hAnsi="Tahoma" w:cs="Tahoma"/>
          <w:b/>
          <w:sz w:val="28"/>
          <w:szCs w:val="28"/>
          <w:u w:val="single"/>
        </w:rPr>
        <w:t>CHEQUE PRESCRITO. ALEGAÇÃO DE AGIOTAGEM DEVIDAMENTE COMPROVADA. O documento apresentado pelo credor caracteriza início de prova escrita quanto à existência do negócio subjacente</w:t>
      </w:r>
      <w:r w:rsidRPr="00CE1BF5">
        <w:rPr>
          <w:rFonts w:ascii="Tahoma" w:hAnsi="Tahoma" w:cs="Tahoma"/>
          <w:sz w:val="28"/>
          <w:szCs w:val="28"/>
        </w:rPr>
        <w:t xml:space="preserve">, cabendo ao devedor, através dos embargos, opor-se, fundamentadamente, à cobrança. Nesse sentido, a prova é uma faculdade atribuída às partes, para que demonstrem os fatos alegados. </w:t>
      </w:r>
      <w:r w:rsidRPr="00CE1BF5">
        <w:rPr>
          <w:rFonts w:ascii="Tahoma" w:hAnsi="Tahoma" w:cs="Tahoma"/>
          <w:b/>
          <w:sz w:val="28"/>
          <w:szCs w:val="28"/>
          <w:u w:val="single"/>
        </w:rPr>
        <w:t xml:space="preserve">Na hipótese, a partir da verossimilhança das assertivas do embargante, foi redistribuído o ônus da prova, possibilitando ao autor comprovar que o cheque em questão foi emitido como pagamento do empréstimo tomado no mesmo valor, </w:t>
      </w:r>
      <w:r w:rsidRPr="00CE1BF5">
        <w:rPr>
          <w:rFonts w:ascii="Tahoma" w:hAnsi="Tahoma" w:cs="Tahoma"/>
          <w:b/>
          <w:sz w:val="28"/>
          <w:szCs w:val="28"/>
          <w:u w:val="single"/>
        </w:rPr>
        <w:lastRenderedPageBreak/>
        <w:t>não decorrendo de cobrança de juros acima do limite legal. Apesar da tentativa, o requerente não logrou demonstrar, de forma satisfatória, o empréstimo do valor pelo qual o cheque foi emitido</w:t>
      </w:r>
      <w:r w:rsidRPr="00CE1BF5">
        <w:rPr>
          <w:rFonts w:ascii="Tahoma" w:hAnsi="Tahoma" w:cs="Tahoma"/>
          <w:sz w:val="28"/>
          <w:szCs w:val="28"/>
        </w:rPr>
        <w:t xml:space="preserve">. Por outro lado, </w:t>
      </w:r>
      <w:r w:rsidRPr="00CE1BF5">
        <w:rPr>
          <w:rFonts w:ascii="Tahoma" w:hAnsi="Tahoma" w:cs="Tahoma"/>
          <w:b/>
          <w:sz w:val="28"/>
          <w:szCs w:val="28"/>
          <w:u w:val="single"/>
        </w:rPr>
        <w:t>a parte embargante comprovou que, além do cheque, também foi emitida uma nota promissória e formalizado um compromisso de compra e venda, tudo com o objetivo de saldar o mesmo empréstimo tomado em quantia praticamente 30% do valor do título que aparelha a ação monitória. Inviabilidade de constituição de título judicial no valor pretendido</w:t>
      </w:r>
      <w:r w:rsidRPr="00CE1BF5">
        <w:rPr>
          <w:rFonts w:ascii="Tahoma" w:hAnsi="Tahoma" w:cs="Tahoma"/>
          <w:sz w:val="28"/>
          <w:szCs w:val="28"/>
        </w:rPr>
        <w:t xml:space="preserve">. RECURSO ADESIVO. REPETIÇÃO DO INDÉBITO. Descabe a formulação de pedido no bojo dos embargos monitórios, que não possuem qualquer eficácia condenatória, ressalvada a hipótese de reconvenção que, na hipótese, não foi oferecida. APELO E RECURSO ADESIVO DESPROVIDOS. UNÂNIME. (Apelação Cível Nº 70081215360, Vigésima Câmara Cível, Tribunal de Justiça do RS, Relator: </w:t>
      </w:r>
      <w:proofErr w:type="spellStart"/>
      <w:r w:rsidRPr="00CE1BF5">
        <w:rPr>
          <w:rFonts w:ascii="Tahoma" w:hAnsi="Tahoma" w:cs="Tahoma"/>
          <w:sz w:val="28"/>
          <w:szCs w:val="28"/>
        </w:rPr>
        <w:t>Dilso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Domingos Pereira, Julgado em 15/05/2019)</w:t>
      </w:r>
    </w:p>
    <w:p w:rsidR="00F74B7A" w:rsidRDefault="00F74B7A" w:rsidP="00F74B7A">
      <w:pPr>
        <w:pStyle w:val="Standard"/>
        <w:spacing w:before="240" w:after="240"/>
        <w:ind w:left="1843"/>
        <w:jc w:val="both"/>
        <w:rPr>
          <w:rFonts w:ascii="Tahoma" w:hAnsi="Tahoma" w:cs="Tahoma"/>
          <w:sz w:val="28"/>
          <w:szCs w:val="28"/>
        </w:rPr>
      </w:pPr>
      <w:r w:rsidRPr="00CE1BF5">
        <w:rPr>
          <w:rFonts w:ascii="Tahoma" w:hAnsi="Tahoma" w:cs="Tahoma"/>
          <w:sz w:val="28"/>
          <w:szCs w:val="28"/>
        </w:rPr>
        <w:t xml:space="preserve">APELAÇÃO CÍVEL. DIREITO PRIVADO NÃO ESPECIFICADO. </w:t>
      </w:r>
      <w:r w:rsidRPr="008D1FCA">
        <w:rPr>
          <w:rFonts w:ascii="Tahoma" w:hAnsi="Tahoma" w:cs="Tahoma"/>
          <w:b/>
          <w:sz w:val="28"/>
          <w:szCs w:val="28"/>
          <w:u w:val="single"/>
        </w:rPr>
        <w:t>AÇÃO DE ENRIQUECIMENTO ILÍCITO. CHEQUES. POSSIBILIDADE DE DISCUSSÃO DA CAUSA DEBENDI. AGIOTAGEM</w:t>
      </w:r>
      <w:r w:rsidRPr="00CE1BF5">
        <w:rPr>
          <w:rFonts w:ascii="Tahoma" w:hAnsi="Tahoma" w:cs="Tahoma"/>
          <w:sz w:val="28"/>
          <w:szCs w:val="28"/>
        </w:rPr>
        <w:t xml:space="preserve">. VEROSSIMILHANÇA NAS ALEGAÇÕES DO DEMANDADO. INVERSÃO DO ÔNUS DA PROVA. NULIDADE DOS TÍTULOS CONFIRMADA. Não havendo circulado o cheque transacionado entre as partes, é possível a discussão do negócio jurídico subjacente. De acordo com o artigo 3º da Medida Provisória nº 2172-32/2001, deve ser transferido para a parte credora o ônus de comprovar que, na relação jurídica efetuada entre as partes, inexistiu a prática de agiotagem, pois, como já consignado pela Magistrada a quo, verossímeis as alegações do demandado. </w:t>
      </w:r>
      <w:r w:rsidRPr="008D1FCA">
        <w:rPr>
          <w:rFonts w:ascii="Tahoma" w:hAnsi="Tahoma" w:cs="Tahoma"/>
          <w:b/>
          <w:sz w:val="28"/>
          <w:szCs w:val="28"/>
          <w:u w:val="single"/>
        </w:rPr>
        <w:t>Não comprovada a licitude do negócio jurídico que originou a dívida, se impõe seja considerada nula a nota promissória que embasa a execução</w:t>
      </w:r>
      <w:r w:rsidRPr="00CE1BF5">
        <w:rPr>
          <w:rFonts w:ascii="Tahoma" w:hAnsi="Tahoma" w:cs="Tahoma"/>
          <w:sz w:val="28"/>
          <w:szCs w:val="28"/>
        </w:rPr>
        <w:t xml:space="preserve">. Honorários em favor do patrono da demandada majorados, nos termos do § 11º do artigo 85 do CPC/2015. APELO IMPROVIDO. (Apelação Cível </w:t>
      </w:r>
      <w:r w:rsidRPr="00CE1BF5">
        <w:rPr>
          <w:rFonts w:ascii="Tahoma" w:hAnsi="Tahoma" w:cs="Tahoma"/>
          <w:sz w:val="28"/>
          <w:szCs w:val="28"/>
        </w:rPr>
        <w:lastRenderedPageBreak/>
        <w:t xml:space="preserve">Nº 70075648279, Décima Segunda Câmara Cível, Tribunal de Justiça do RS, Relator: </w:t>
      </w:r>
      <w:proofErr w:type="spellStart"/>
      <w:r w:rsidRPr="00CE1BF5">
        <w:rPr>
          <w:rFonts w:ascii="Tahoma" w:hAnsi="Tahoma" w:cs="Tahoma"/>
          <w:sz w:val="28"/>
          <w:szCs w:val="28"/>
        </w:rPr>
        <w:t>Guinther</w:t>
      </w:r>
      <w:proofErr w:type="spellEnd"/>
      <w:r w:rsidRPr="00CE1B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E1BF5">
        <w:rPr>
          <w:rFonts w:ascii="Tahoma" w:hAnsi="Tahoma" w:cs="Tahoma"/>
          <w:sz w:val="28"/>
          <w:szCs w:val="28"/>
        </w:rPr>
        <w:t>Spode</w:t>
      </w:r>
      <w:proofErr w:type="spellEnd"/>
      <w:r w:rsidRPr="00CE1BF5">
        <w:rPr>
          <w:rFonts w:ascii="Tahoma" w:hAnsi="Tahoma" w:cs="Tahoma"/>
          <w:sz w:val="28"/>
          <w:szCs w:val="28"/>
        </w:rPr>
        <w:t>, Julgado em 12/12/2017)</w:t>
      </w:r>
    </w:p>
    <w:p w:rsidR="00F74B7A" w:rsidRPr="008D1FCA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color w:val="FF0000"/>
          <w:sz w:val="28"/>
          <w:szCs w:val="28"/>
        </w:rPr>
      </w:pPr>
      <w:r w:rsidRPr="008D1FCA">
        <w:rPr>
          <w:rFonts w:ascii="Tahoma" w:hAnsi="Tahoma" w:cs="Tahoma"/>
          <w:color w:val="FF0000"/>
          <w:sz w:val="28"/>
          <w:szCs w:val="28"/>
        </w:rPr>
        <w:t>De fato, o executado passou por dificuldades financeiras e o exequente sabendo da situação daquele, ofereceu-lhe a quantia ________, obrigando-o a assinar a folha de cheque como garantia da dívida, cobrando juros de 15% ao mês.</w:t>
      </w:r>
    </w:p>
    <w:p w:rsidR="00F74B7A" w:rsidRPr="00CE1BF5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 w:rsidRPr="00CE1BF5">
        <w:rPr>
          <w:rFonts w:ascii="Tahoma" w:hAnsi="Tahoma" w:cs="Tahoma"/>
          <w:sz w:val="28"/>
          <w:szCs w:val="28"/>
        </w:rPr>
        <w:t>Com efeito, há indícios suficientes nos autos de que esse título foi emitido como garantia do empréstimo do numerário ao executado, seja porque extraído pelo valor histórico da transação</w:t>
      </w:r>
      <w:r>
        <w:rPr>
          <w:rFonts w:ascii="Tahoma" w:hAnsi="Tahoma" w:cs="Tahoma"/>
          <w:sz w:val="28"/>
          <w:szCs w:val="28"/>
        </w:rPr>
        <w:t xml:space="preserve"> (assinado em 06/06/2008 e depositado no banco apenas em 14/06/2009)</w:t>
      </w:r>
      <w:r w:rsidRPr="00CE1BF5">
        <w:rPr>
          <w:rFonts w:ascii="Tahoma" w:hAnsi="Tahoma" w:cs="Tahoma"/>
          <w:sz w:val="28"/>
          <w:szCs w:val="28"/>
        </w:rPr>
        <w:t>, seja pelas declarações das testemunhas reconhecido firma em cartório etc.</w:t>
      </w:r>
    </w:p>
    <w:p w:rsidR="00F74B7A" w:rsidRPr="008D1FCA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color w:val="FF0000"/>
          <w:sz w:val="28"/>
          <w:szCs w:val="28"/>
        </w:rPr>
      </w:pPr>
      <w:r w:rsidRPr="008D1FCA">
        <w:rPr>
          <w:rFonts w:ascii="Tahoma" w:hAnsi="Tahoma" w:cs="Tahoma"/>
          <w:color w:val="FF0000"/>
          <w:sz w:val="28"/>
          <w:szCs w:val="28"/>
        </w:rPr>
        <w:t xml:space="preserve">Alinhado a isso, conforme há outras ações promovidas pelo exequente nesta comarca cobrando outros empréstimos oriundos de agiotagem, o que comprova que, com habitualidade, que empresta dinheiro a juros. </w:t>
      </w:r>
    </w:p>
    <w:p w:rsidR="00F74B7A" w:rsidRPr="00CE1BF5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 w:rsidRPr="00CE1BF5">
        <w:rPr>
          <w:rFonts w:ascii="Tahoma" w:hAnsi="Tahoma" w:cs="Tahoma"/>
          <w:sz w:val="28"/>
          <w:szCs w:val="28"/>
        </w:rPr>
        <w:t xml:space="preserve">Por tudo isso, mostra-se inviável constituir o título no valor de R$ </w:t>
      </w:r>
      <w:r>
        <w:rPr>
          <w:rFonts w:ascii="Tahoma" w:hAnsi="Tahoma" w:cs="Tahoma"/>
          <w:sz w:val="28"/>
          <w:szCs w:val="28"/>
        </w:rPr>
        <w:t>205.281,00</w:t>
      </w:r>
      <w:r w:rsidRPr="00CE1BF5">
        <w:rPr>
          <w:rFonts w:ascii="Tahoma" w:hAnsi="Tahoma" w:cs="Tahoma"/>
          <w:sz w:val="28"/>
          <w:szCs w:val="28"/>
        </w:rPr>
        <w:t xml:space="preserve">, como pretende o </w:t>
      </w:r>
      <w:r>
        <w:rPr>
          <w:rFonts w:ascii="Tahoma" w:hAnsi="Tahoma" w:cs="Tahoma"/>
          <w:sz w:val="28"/>
          <w:szCs w:val="28"/>
        </w:rPr>
        <w:t>exequente</w:t>
      </w:r>
      <w:r w:rsidRPr="00CE1BF5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Pr="00CE1BF5">
        <w:rPr>
          <w:rFonts w:ascii="Tahoma" w:hAnsi="Tahoma" w:cs="Tahoma"/>
          <w:sz w:val="28"/>
          <w:szCs w:val="28"/>
        </w:rPr>
        <w:t xml:space="preserve">Logo, há </w:t>
      </w:r>
      <w:r>
        <w:rPr>
          <w:rFonts w:ascii="Tahoma" w:hAnsi="Tahoma" w:cs="Tahoma"/>
          <w:sz w:val="28"/>
          <w:szCs w:val="28"/>
        </w:rPr>
        <w:t xml:space="preserve">de se </w:t>
      </w:r>
      <w:r w:rsidRPr="00CE1BF5">
        <w:rPr>
          <w:rFonts w:ascii="Tahoma" w:hAnsi="Tahoma" w:cs="Tahoma"/>
          <w:sz w:val="28"/>
          <w:szCs w:val="28"/>
        </w:rPr>
        <w:t>reconhecer a estrita vinculação do cheque ao mútuo usurário, pois emitido para garant</w:t>
      </w:r>
      <w:r>
        <w:rPr>
          <w:rFonts w:ascii="Tahoma" w:hAnsi="Tahoma" w:cs="Tahoma"/>
          <w:sz w:val="28"/>
          <w:szCs w:val="28"/>
        </w:rPr>
        <w:t>ia do pagamento de juros ilegais, devendo se declarar nula a ação executiva</w:t>
      </w:r>
      <w:r w:rsidRPr="00CE1BF5">
        <w:rPr>
          <w:rFonts w:ascii="Tahoma" w:hAnsi="Tahoma" w:cs="Tahoma"/>
          <w:sz w:val="28"/>
          <w:szCs w:val="28"/>
        </w:rPr>
        <w:t>.</w:t>
      </w:r>
    </w:p>
    <w:p w:rsidR="00F74B7A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</w:p>
    <w:p w:rsidR="00F74B7A" w:rsidRPr="00261237" w:rsidRDefault="00F74B7A" w:rsidP="00F74B7A">
      <w:pPr>
        <w:pStyle w:val="Standard"/>
        <w:spacing w:before="240" w:after="240"/>
        <w:jc w:val="both"/>
        <w:rPr>
          <w:rFonts w:ascii="Tahoma" w:hAnsi="Tahoma" w:cs="Tahoma"/>
          <w:b/>
          <w:sz w:val="32"/>
          <w:szCs w:val="28"/>
          <w:u w:val="single"/>
        </w:rPr>
      </w:pPr>
      <w:r w:rsidRPr="00261237">
        <w:rPr>
          <w:rFonts w:ascii="Tahoma" w:hAnsi="Tahoma" w:cs="Tahoma"/>
          <w:b/>
          <w:sz w:val="32"/>
          <w:szCs w:val="28"/>
          <w:u w:val="single"/>
        </w:rPr>
        <w:t>DOS PEDIDOS</w:t>
      </w:r>
    </w:p>
    <w:p w:rsidR="00F74B7A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Diante do expendido, pugna o executado pelo recebimento e processamento da presente exceção de </w:t>
      </w:r>
      <w:proofErr w:type="spellStart"/>
      <w:r>
        <w:rPr>
          <w:rFonts w:ascii="Tahoma" w:hAnsi="Tahoma" w:cs="Tahoma"/>
          <w:sz w:val="28"/>
          <w:szCs w:val="28"/>
        </w:rPr>
        <w:t>pré</w:t>
      </w:r>
      <w:proofErr w:type="spellEnd"/>
      <w:r>
        <w:rPr>
          <w:rFonts w:ascii="Tahoma" w:hAnsi="Tahoma" w:cs="Tahoma"/>
          <w:sz w:val="28"/>
          <w:szCs w:val="28"/>
        </w:rPr>
        <w:t xml:space="preserve">-executividade, julgando-a procedente para </w:t>
      </w:r>
      <w:proofErr w:type="spellStart"/>
      <w:r>
        <w:rPr>
          <w:rFonts w:ascii="Tahoma" w:hAnsi="Tahoma" w:cs="Tahoma"/>
          <w:sz w:val="28"/>
          <w:szCs w:val="28"/>
        </w:rPr>
        <w:t>declar</w:t>
      </w:r>
      <w:proofErr w:type="spellEnd"/>
      <w:r>
        <w:rPr>
          <w:rFonts w:ascii="Tahoma" w:hAnsi="Tahoma" w:cs="Tahoma"/>
          <w:sz w:val="28"/>
          <w:szCs w:val="28"/>
        </w:rPr>
        <w:t xml:space="preserve"> nula a cártula que embasa a presente ação executiva porque </w:t>
      </w:r>
      <w:proofErr w:type="spellStart"/>
      <w:r>
        <w:rPr>
          <w:rFonts w:ascii="Tahoma" w:hAnsi="Tahoma" w:cs="Tahoma"/>
          <w:sz w:val="28"/>
          <w:szCs w:val="28"/>
        </w:rPr>
        <w:t>origunda</w:t>
      </w:r>
      <w:proofErr w:type="spellEnd"/>
      <w:r>
        <w:rPr>
          <w:rFonts w:ascii="Tahoma" w:hAnsi="Tahoma" w:cs="Tahoma"/>
          <w:sz w:val="28"/>
          <w:szCs w:val="28"/>
        </w:rPr>
        <w:t xml:space="preserve"> de agiotagem, por ser tal medida a que representa a mais lídima Justiça.</w:t>
      </w:r>
    </w:p>
    <w:p w:rsidR="00F74B7A" w:rsidRPr="002E58C9" w:rsidRDefault="00F74B7A" w:rsidP="00F74B7A">
      <w:pPr>
        <w:pStyle w:val="Standard"/>
        <w:spacing w:before="240" w:after="240"/>
        <w:ind w:firstLine="170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 oportunidade, que a parte exequente seja condenada em honorários advocatícios no importe de 20% do valor do débito.</w:t>
      </w:r>
    </w:p>
    <w:p w:rsidR="00F74B7A" w:rsidRDefault="00F74B7A" w:rsidP="00F74B7A">
      <w:pPr>
        <w:pStyle w:val="Standard"/>
        <w:spacing w:line="386" w:lineRule="atLeast"/>
        <w:ind w:firstLine="1701"/>
        <w:jc w:val="both"/>
        <w:rPr>
          <w:rFonts w:ascii="Tahoma" w:hAnsi="Tahoma" w:cs="Tahoma"/>
          <w:sz w:val="28"/>
          <w:szCs w:val="28"/>
        </w:rPr>
      </w:pPr>
      <w:r w:rsidRPr="003A6A69">
        <w:rPr>
          <w:rFonts w:ascii="Tahoma" w:hAnsi="Tahoma" w:cs="Tahoma"/>
          <w:sz w:val="28"/>
          <w:szCs w:val="28"/>
        </w:rPr>
        <w:t>Nesses termos, pede-se deferimento.</w:t>
      </w:r>
    </w:p>
    <w:p w:rsidR="00F74B7A" w:rsidRDefault="00F74B7A" w:rsidP="00F74B7A">
      <w:pPr>
        <w:pStyle w:val="Standard"/>
        <w:spacing w:line="386" w:lineRule="atLeast"/>
        <w:ind w:firstLine="1701"/>
        <w:jc w:val="both"/>
        <w:rPr>
          <w:rFonts w:ascii="Tahoma" w:hAnsi="Tahoma" w:cs="Tahoma"/>
          <w:sz w:val="28"/>
          <w:szCs w:val="28"/>
        </w:rPr>
      </w:pPr>
    </w:p>
    <w:p w:rsidR="00F74B7A" w:rsidRPr="007903E9" w:rsidRDefault="00F74B7A" w:rsidP="00F74B7A">
      <w:pPr>
        <w:pStyle w:val="Standard"/>
        <w:spacing w:line="386" w:lineRule="atLeast"/>
        <w:ind w:firstLine="170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Poconé</w:t>
      </w:r>
      <w:r w:rsidRPr="007903E9">
        <w:rPr>
          <w:rFonts w:ascii="Tahoma" w:hAnsi="Tahoma" w:cs="Tahoma"/>
          <w:sz w:val="28"/>
          <w:szCs w:val="28"/>
        </w:rPr>
        <w:t xml:space="preserve">-MT, </w:t>
      </w:r>
      <w:r>
        <w:rPr>
          <w:rFonts w:ascii="Tahoma" w:hAnsi="Tahoma" w:cs="Tahoma"/>
          <w:sz w:val="28"/>
          <w:szCs w:val="28"/>
        </w:rPr>
        <w:t>26 de junho de 2019</w:t>
      </w:r>
      <w:r w:rsidRPr="007903E9">
        <w:rPr>
          <w:rFonts w:ascii="Tahoma" w:hAnsi="Tahoma" w:cs="Tahoma"/>
          <w:sz w:val="28"/>
          <w:szCs w:val="28"/>
        </w:rPr>
        <w:t>.</w:t>
      </w:r>
    </w:p>
    <w:p w:rsidR="00F74B7A" w:rsidRDefault="00F74B7A" w:rsidP="00F74B7A">
      <w:pPr>
        <w:pStyle w:val="NormalWeb"/>
        <w:spacing w:before="0" w:after="0" w:line="360" w:lineRule="auto"/>
        <w:ind w:firstLine="1418"/>
        <w:jc w:val="both"/>
        <w:rPr>
          <w:rFonts w:ascii="Tahoma" w:hAnsi="Tahoma" w:cs="Tahoma"/>
          <w:bCs/>
          <w:color w:val="000000"/>
        </w:rPr>
      </w:pPr>
    </w:p>
    <w:p w:rsidR="00F74B7A" w:rsidRPr="008C3E53" w:rsidRDefault="00F74B7A" w:rsidP="00F74B7A">
      <w:pPr>
        <w:pStyle w:val="NormalWeb"/>
        <w:spacing w:before="0" w:after="0" w:line="360" w:lineRule="auto"/>
        <w:ind w:firstLine="1418"/>
        <w:jc w:val="both"/>
        <w:rPr>
          <w:rFonts w:ascii="Tahoma" w:hAnsi="Tahoma" w:cs="Tahoma"/>
          <w:bCs/>
          <w:color w:val="000000"/>
        </w:rPr>
      </w:pPr>
    </w:p>
    <w:p w:rsidR="00F74B7A" w:rsidRPr="00F74B7A" w:rsidRDefault="00F74B7A" w:rsidP="00F74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ahoma" w:hAnsi="Tahoma" w:cs="Tahoma"/>
          <w:b/>
          <w:szCs w:val="28"/>
          <w:lang w:val="pt-BR"/>
        </w:rPr>
      </w:pPr>
      <w:r w:rsidRPr="00F74B7A">
        <w:rPr>
          <w:rFonts w:ascii="Tahoma" w:hAnsi="Tahoma" w:cs="Tahoma"/>
          <w:b/>
          <w:szCs w:val="28"/>
          <w:lang w:val="pt-BR"/>
        </w:rPr>
        <w:t>YANN DIEGGO SOUZA TIMÓTHEO DE ALMEIDA</w:t>
      </w:r>
    </w:p>
    <w:p w:rsidR="00F74B7A" w:rsidRPr="00F74B7A" w:rsidRDefault="00F74B7A" w:rsidP="00F74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ahoma" w:hAnsi="Tahoma" w:cs="Tahoma"/>
          <w:bCs/>
          <w:lang w:val="pt-BR"/>
        </w:rPr>
      </w:pPr>
      <w:r w:rsidRPr="00F74B7A">
        <w:rPr>
          <w:rFonts w:ascii="Tahoma" w:hAnsi="Tahoma" w:cs="Tahoma"/>
          <w:szCs w:val="28"/>
          <w:lang w:val="pt-BR"/>
        </w:rPr>
        <w:t>OAB/MT 12.025</w:t>
      </w:r>
    </w:p>
    <w:p w:rsidR="00F74B7A" w:rsidRPr="00F74B7A" w:rsidRDefault="00F74B7A" w:rsidP="00F74B7A">
      <w:pPr>
        <w:rPr>
          <w:lang w:val="pt-BR"/>
        </w:rPr>
      </w:pPr>
    </w:p>
    <w:p w:rsidR="00F74B7A" w:rsidRPr="00F74B7A" w:rsidRDefault="00F74B7A" w:rsidP="00F74B7A">
      <w:pPr>
        <w:rPr>
          <w:lang w:val="pt-BR"/>
        </w:rPr>
      </w:pPr>
    </w:p>
    <w:p w:rsidR="00F74B7A" w:rsidRPr="00F74B7A" w:rsidRDefault="00F74B7A" w:rsidP="00F74B7A">
      <w:pPr>
        <w:rPr>
          <w:lang w:val="pt-BR"/>
        </w:rPr>
      </w:pPr>
    </w:p>
    <w:p w:rsidR="00F74B7A" w:rsidRPr="00F74B7A" w:rsidRDefault="00F74B7A" w:rsidP="00F74B7A">
      <w:pPr>
        <w:rPr>
          <w:lang w:val="pt-BR"/>
        </w:rPr>
      </w:pPr>
    </w:p>
    <w:p w:rsidR="00F74B7A" w:rsidRPr="00F74B7A" w:rsidRDefault="00F74B7A" w:rsidP="00F74B7A">
      <w:pPr>
        <w:rPr>
          <w:lang w:val="pt-BR"/>
        </w:rPr>
      </w:pPr>
    </w:p>
    <w:p w:rsidR="0007696D" w:rsidRDefault="003277FC" w:rsidP="00653EDF">
      <w:pPr>
        <w:spacing w:before="240" w:after="240" w:line="276" w:lineRule="auto"/>
        <w:ind w:firstLine="1701"/>
        <w:jc w:val="both"/>
        <w:rPr>
          <w:rFonts w:ascii="Tahoma" w:hAnsi="Tahoma" w:cs="Tahoma"/>
          <w:color w:val="000000" w:themeColor="text1"/>
          <w:sz w:val="26"/>
          <w:szCs w:val="26"/>
          <w:lang w:val="pt-BR"/>
        </w:rPr>
      </w:pPr>
      <w:r w:rsidRPr="00653EDF">
        <w:rPr>
          <w:rFonts w:ascii="Tahoma" w:hAnsi="Tahoma" w:cs="Tahoma"/>
          <w:color w:val="000000" w:themeColor="text1"/>
          <w:sz w:val="26"/>
          <w:szCs w:val="26"/>
          <w:lang w:val="pt-BR"/>
        </w:rPr>
        <w:t>Nesses</w:t>
      </w:r>
      <w:r w:rsidRPr="00BE6497">
        <w:rPr>
          <w:rFonts w:ascii="Tahoma" w:hAnsi="Tahoma" w:cs="Tahoma"/>
          <w:color w:val="000000" w:themeColor="text1"/>
          <w:sz w:val="26"/>
          <w:szCs w:val="26"/>
          <w:lang w:val="pt-BR"/>
        </w:rPr>
        <w:t xml:space="preserve"> termos, pede-se deferimento.</w:t>
      </w:r>
    </w:p>
    <w:p w:rsidR="003277FC" w:rsidRPr="00BE6497" w:rsidRDefault="00CA6605" w:rsidP="0007696D">
      <w:pPr>
        <w:spacing w:before="240" w:after="240" w:line="360" w:lineRule="auto"/>
        <w:ind w:firstLine="1701"/>
        <w:jc w:val="both"/>
        <w:rPr>
          <w:rFonts w:ascii="Tahoma" w:hAnsi="Tahoma" w:cs="Tahoma"/>
          <w:color w:val="000000" w:themeColor="text1"/>
          <w:sz w:val="26"/>
          <w:szCs w:val="26"/>
          <w:lang w:val="pt-BR"/>
        </w:rPr>
      </w:pPr>
      <w:r w:rsidRPr="00BE6497">
        <w:rPr>
          <w:rFonts w:ascii="Tahoma" w:hAnsi="Tahoma" w:cs="Tahoma"/>
          <w:color w:val="000000" w:themeColor="text1"/>
          <w:sz w:val="26"/>
          <w:szCs w:val="26"/>
          <w:lang w:val="pt-BR"/>
        </w:rPr>
        <w:t>Campinápolis</w:t>
      </w:r>
      <w:r w:rsidR="003277FC" w:rsidRPr="00BE6497">
        <w:rPr>
          <w:rFonts w:ascii="Tahoma" w:hAnsi="Tahoma" w:cs="Tahoma"/>
          <w:color w:val="000000" w:themeColor="text1"/>
          <w:sz w:val="26"/>
          <w:szCs w:val="26"/>
          <w:lang w:val="pt-BR"/>
        </w:rPr>
        <w:t xml:space="preserve">/MT, </w:t>
      </w:r>
      <w:r w:rsidR="006657B1">
        <w:rPr>
          <w:rFonts w:ascii="Tahoma" w:hAnsi="Tahoma" w:cs="Tahoma"/>
          <w:color w:val="000000" w:themeColor="text1"/>
          <w:sz w:val="26"/>
          <w:szCs w:val="26"/>
          <w:lang w:val="pt-BR"/>
        </w:rPr>
        <w:t>1</w:t>
      </w:r>
      <w:r w:rsidR="00A7175F">
        <w:rPr>
          <w:rFonts w:ascii="Tahoma" w:hAnsi="Tahoma" w:cs="Tahoma"/>
          <w:color w:val="000000" w:themeColor="text1"/>
          <w:sz w:val="26"/>
          <w:szCs w:val="26"/>
          <w:lang w:val="pt-BR"/>
        </w:rPr>
        <w:t>3</w:t>
      </w:r>
      <w:r w:rsidR="006657B1">
        <w:rPr>
          <w:rFonts w:ascii="Tahoma" w:hAnsi="Tahoma" w:cs="Tahoma"/>
          <w:color w:val="000000" w:themeColor="text1"/>
          <w:sz w:val="26"/>
          <w:szCs w:val="26"/>
          <w:lang w:val="pt-BR"/>
        </w:rPr>
        <w:t xml:space="preserve"> de agosto</w:t>
      </w:r>
      <w:r w:rsidR="003277FC" w:rsidRPr="00BE6497">
        <w:rPr>
          <w:rFonts w:ascii="Tahoma" w:hAnsi="Tahoma" w:cs="Tahoma"/>
          <w:color w:val="000000" w:themeColor="text1"/>
          <w:sz w:val="26"/>
          <w:szCs w:val="26"/>
          <w:lang w:val="pt-BR"/>
        </w:rPr>
        <w:t xml:space="preserve"> de 2019.</w:t>
      </w:r>
    </w:p>
    <w:p w:rsidR="0063441E" w:rsidRPr="00BE6497" w:rsidRDefault="0063441E" w:rsidP="003277FC">
      <w:pPr>
        <w:jc w:val="center"/>
        <w:rPr>
          <w:rFonts w:ascii="Tahoma" w:hAnsi="Tahoma" w:cs="Tahoma"/>
          <w:b/>
          <w:color w:val="000000" w:themeColor="text1"/>
          <w:szCs w:val="26"/>
          <w:lang w:val="pt-BR"/>
        </w:rPr>
      </w:pPr>
    </w:p>
    <w:p w:rsidR="003277FC" w:rsidRPr="00BE6497" w:rsidRDefault="003277FC" w:rsidP="003277FC">
      <w:pPr>
        <w:jc w:val="center"/>
        <w:rPr>
          <w:rFonts w:ascii="Tahoma" w:hAnsi="Tahoma" w:cs="Tahoma"/>
          <w:b/>
          <w:color w:val="000000" w:themeColor="text1"/>
          <w:szCs w:val="26"/>
          <w:lang w:val="pt-BR"/>
        </w:rPr>
      </w:pPr>
      <w:r w:rsidRPr="00BE6497">
        <w:rPr>
          <w:rFonts w:ascii="Tahoma" w:hAnsi="Tahoma" w:cs="Tahoma"/>
          <w:b/>
          <w:color w:val="000000" w:themeColor="text1"/>
          <w:szCs w:val="26"/>
          <w:lang w:val="pt-BR"/>
        </w:rPr>
        <w:t>YANN DIEGGO SOUZA TIMÓTHEO DE ALMEIDA</w:t>
      </w:r>
    </w:p>
    <w:p w:rsidR="00CA6605" w:rsidRPr="00BE6497" w:rsidRDefault="0007696D" w:rsidP="003277FC">
      <w:pPr>
        <w:jc w:val="center"/>
        <w:rPr>
          <w:rFonts w:ascii="Tahoma" w:hAnsi="Tahoma" w:cs="Tahoma"/>
          <w:b/>
          <w:color w:val="000000" w:themeColor="text1"/>
          <w:sz w:val="22"/>
          <w:szCs w:val="26"/>
          <w:lang w:val="pt-BR"/>
        </w:rPr>
      </w:pPr>
      <w:r>
        <w:rPr>
          <w:rFonts w:ascii="Tahoma" w:hAnsi="Tahoma" w:cs="Tahoma"/>
          <w:b/>
          <w:color w:val="000000" w:themeColor="text1"/>
          <w:szCs w:val="26"/>
          <w:lang w:val="pt-BR"/>
        </w:rPr>
        <w:t>Advogado do Município</w:t>
      </w:r>
    </w:p>
    <w:p w:rsidR="003277FC" w:rsidRPr="00BE6497" w:rsidRDefault="003277FC" w:rsidP="007A0F74">
      <w:pPr>
        <w:jc w:val="center"/>
        <w:rPr>
          <w:rFonts w:ascii="Tahoma" w:hAnsi="Tahoma" w:cs="Tahoma"/>
          <w:b/>
          <w:color w:val="000000" w:themeColor="text1"/>
          <w:szCs w:val="26"/>
          <w:lang w:val="pt-BR"/>
        </w:rPr>
      </w:pPr>
      <w:r w:rsidRPr="00BE6497">
        <w:rPr>
          <w:rFonts w:ascii="Tahoma" w:hAnsi="Tahoma" w:cs="Tahoma"/>
          <w:color w:val="000000" w:themeColor="text1"/>
          <w:szCs w:val="26"/>
          <w:lang w:val="pt-BR"/>
        </w:rPr>
        <w:t>OAB/MT 12.025</w:t>
      </w:r>
    </w:p>
    <w:sectPr w:rsidR="003277FC" w:rsidRPr="00BE6497" w:rsidSect="00BE6497">
      <w:headerReference w:type="default" r:id="rId9"/>
      <w:footerReference w:type="default" r:id="rId10"/>
      <w:pgSz w:w="11909" w:h="16834" w:code="9"/>
      <w:pgMar w:top="3261" w:right="994" w:bottom="426" w:left="1418" w:header="12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C1" w:rsidRDefault="002463C1">
      <w:r>
        <w:separator/>
      </w:r>
    </w:p>
  </w:endnote>
  <w:endnote w:type="continuationSeparator" w:id="0">
    <w:p w:rsidR="002463C1" w:rsidRDefault="0024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E6" w:rsidRPr="004C63A2" w:rsidRDefault="006972DC" w:rsidP="000073B9">
    <w:pPr>
      <w:pStyle w:val="Rodap"/>
      <w:jc w:val="center"/>
      <w:rPr>
        <w:rFonts w:cs="Arial"/>
        <w:sz w:val="15"/>
        <w:szCs w:val="15"/>
        <w:lang w:val="pt-BR"/>
      </w:rPr>
    </w:pPr>
    <w:r w:rsidRPr="004C63A2">
      <w:rPr>
        <w:rFonts w:cs="Arial"/>
        <w:sz w:val="15"/>
        <w:szCs w:val="15"/>
        <w:lang w:val="pt-BR"/>
      </w:rPr>
      <w:t>Av</w:t>
    </w:r>
    <w:r w:rsidR="001074E6" w:rsidRPr="004C63A2">
      <w:rPr>
        <w:rFonts w:cs="Arial"/>
        <w:sz w:val="15"/>
        <w:szCs w:val="15"/>
        <w:lang w:val="pt-BR"/>
      </w:rPr>
      <w:t xml:space="preserve">. </w:t>
    </w:r>
    <w:proofErr w:type="spellStart"/>
    <w:r w:rsidR="00C657D3" w:rsidRPr="004C63A2">
      <w:rPr>
        <w:rFonts w:cs="Arial"/>
        <w:sz w:val="15"/>
        <w:szCs w:val="15"/>
        <w:lang w:val="pt-BR"/>
      </w:rPr>
      <w:t>Benôni</w:t>
    </w:r>
    <w:r w:rsidR="00C657D3">
      <w:rPr>
        <w:rFonts w:cs="Arial"/>
        <w:sz w:val="15"/>
        <w:szCs w:val="15"/>
        <w:lang w:val="pt-BR"/>
      </w:rPr>
      <w:t>c</w:t>
    </w:r>
    <w:r w:rsidR="00C657D3" w:rsidRPr="004C63A2">
      <w:rPr>
        <w:rFonts w:cs="Arial"/>
        <w:sz w:val="15"/>
        <w:szCs w:val="15"/>
        <w:lang w:val="pt-BR"/>
      </w:rPr>
      <w:t>o</w:t>
    </w:r>
    <w:proofErr w:type="spellEnd"/>
    <w:r w:rsidR="001074E6" w:rsidRPr="004C63A2">
      <w:rPr>
        <w:rFonts w:cs="Arial"/>
        <w:sz w:val="15"/>
        <w:szCs w:val="15"/>
        <w:lang w:val="pt-BR"/>
      </w:rPr>
      <w:t xml:space="preserve"> Jose Lourenço, 2</w:t>
    </w:r>
    <w:r w:rsidR="00C657D3">
      <w:rPr>
        <w:rFonts w:cs="Arial"/>
        <w:sz w:val="15"/>
        <w:szCs w:val="15"/>
        <w:lang w:val="pt-BR"/>
      </w:rPr>
      <w:t>.</w:t>
    </w:r>
    <w:r w:rsidR="001074E6" w:rsidRPr="004C63A2">
      <w:rPr>
        <w:rFonts w:cs="Arial"/>
        <w:sz w:val="15"/>
        <w:szCs w:val="15"/>
        <w:lang w:val="pt-BR"/>
      </w:rPr>
      <w:t>170, S</w:t>
    </w:r>
    <w:r w:rsidR="004C63A2" w:rsidRPr="004C63A2">
      <w:rPr>
        <w:rFonts w:cs="Arial"/>
        <w:sz w:val="15"/>
        <w:szCs w:val="15"/>
        <w:lang w:val="pt-BR"/>
      </w:rPr>
      <w:t>etor União – Tel.: 3437-1992 CEP</w:t>
    </w:r>
    <w:r w:rsidR="001074E6" w:rsidRPr="004C63A2">
      <w:rPr>
        <w:rFonts w:cs="Arial"/>
        <w:sz w:val="15"/>
        <w:szCs w:val="15"/>
        <w:lang w:val="pt-BR"/>
      </w:rPr>
      <w:t xml:space="preserve"> 78.630-000 – Campinápolis-</w:t>
    </w:r>
    <w:r w:rsidR="000073B9" w:rsidRPr="004C63A2">
      <w:rPr>
        <w:rFonts w:cs="Arial"/>
        <w:sz w:val="15"/>
        <w:szCs w:val="15"/>
        <w:lang w:val="pt-BR"/>
      </w:rPr>
      <w:t>MT</w:t>
    </w:r>
  </w:p>
  <w:p w:rsidR="000073B9" w:rsidRPr="004C63A2" w:rsidRDefault="00706BEF" w:rsidP="000073B9">
    <w:pPr>
      <w:pStyle w:val="Rodap"/>
      <w:jc w:val="center"/>
      <w:rPr>
        <w:rFonts w:cs="Arial"/>
        <w:sz w:val="15"/>
        <w:szCs w:val="15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page">
                <wp:posOffset>441960</wp:posOffset>
              </wp:positionH>
              <wp:positionV relativeFrom="page">
                <wp:posOffset>10281919</wp:posOffset>
              </wp:positionV>
              <wp:extent cx="6697345" cy="0"/>
              <wp:effectExtent l="0" t="0" r="27305" b="19050"/>
              <wp:wrapNone/>
              <wp:docPr id="2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734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C2918E" id="Line 6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34.8pt,809.6pt" to="562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" strokecolor="#40a7c2 [3048]">
              <w10:wrap anchorx="page" anchory="page"/>
            </v:line>
          </w:pict>
        </mc:Fallback>
      </mc:AlternateContent>
    </w:r>
    <w:r w:rsidR="000073B9" w:rsidRPr="004C63A2">
      <w:rPr>
        <w:rFonts w:cs="Arial"/>
        <w:sz w:val="15"/>
        <w:szCs w:val="15"/>
        <w:lang w:val="pt-BR"/>
      </w:rPr>
      <w:t>h</w:t>
    </w:r>
    <w:r w:rsidR="004C63A2">
      <w:rPr>
        <w:rFonts w:cs="Arial"/>
        <w:sz w:val="15"/>
        <w:szCs w:val="15"/>
        <w:lang w:val="pt-BR"/>
      </w:rPr>
      <w:t>ttp://www.campinapolis.</w:t>
    </w:r>
    <w:r w:rsidR="00C657D3">
      <w:rPr>
        <w:rFonts w:cs="Arial"/>
        <w:sz w:val="15"/>
        <w:szCs w:val="15"/>
        <w:lang w:val="pt-BR"/>
      </w:rPr>
      <w:t>mt.gov.br</w:t>
    </w:r>
  </w:p>
  <w:p w:rsidR="006972DC" w:rsidRPr="000073B9" w:rsidRDefault="006972DC" w:rsidP="000073B9">
    <w:pPr>
      <w:pStyle w:val="Rodap"/>
      <w:jc w:val="center"/>
      <w:rPr>
        <w:rFonts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C1" w:rsidRDefault="002463C1">
      <w:r>
        <w:separator/>
      </w:r>
    </w:p>
  </w:footnote>
  <w:footnote w:type="continuationSeparator" w:id="0">
    <w:p w:rsidR="002463C1" w:rsidRDefault="002463C1">
      <w:r>
        <w:continuationSeparator/>
      </w:r>
    </w:p>
  </w:footnote>
  <w:footnote w:id="1">
    <w:p w:rsidR="00F74B7A" w:rsidRPr="001101F7" w:rsidRDefault="00F74B7A" w:rsidP="00F74B7A">
      <w:pPr>
        <w:pStyle w:val="Textodenotaderodap"/>
        <w:rPr>
          <w:rFonts w:ascii="Tahoma" w:hAnsi="Tahoma" w:cs="Tahoma"/>
        </w:rPr>
      </w:pPr>
      <w:r w:rsidRPr="001101F7">
        <w:rPr>
          <w:rStyle w:val="Refdenotaderodap"/>
          <w:rFonts w:ascii="Tahoma" w:hAnsi="Tahoma" w:cs="Tahoma"/>
        </w:rPr>
        <w:footnoteRef/>
      </w:r>
      <w:r w:rsidRPr="001101F7">
        <w:rPr>
          <w:rFonts w:ascii="Tahoma" w:hAnsi="Tahoma" w:cs="Tahoma"/>
        </w:rPr>
        <w:t xml:space="preserve"> Art. 300. Compete ao réu alegar, na contestação, toda a matéria de defesa, expondo as razões de fato e de direito, com que impugna o pedido do autor e especificando as provas que pretende </w:t>
      </w:r>
      <w:proofErr w:type="gramStart"/>
      <w:r w:rsidRPr="001101F7">
        <w:rPr>
          <w:rFonts w:ascii="Tahoma" w:hAnsi="Tahoma" w:cs="Tahoma"/>
        </w:rPr>
        <w:t>produzir 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F4" w:rsidRDefault="00706BEF" w:rsidP="00EF6162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2306955</wp:posOffset>
              </wp:positionH>
              <wp:positionV relativeFrom="page">
                <wp:posOffset>553085</wp:posOffset>
              </wp:positionV>
              <wp:extent cx="4826000" cy="1031240"/>
              <wp:effectExtent l="0" t="0" r="12700" b="165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0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4E6" w:rsidRDefault="001074E6" w:rsidP="008F63F2">
                          <w:pPr>
                            <w:pStyle w:val="Masthead"/>
                            <w:rPr>
                              <w:rFonts w:ascii="Arial" w:hAnsi="Arial" w:cs="Arial"/>
                              <w:color w:val="333333"/>
                              <w:sz w:val="4"/>
                              <w:szCs w:val="4"/>
                              <w:lang w:val="pt-BR"/>
                            </w:rPr>
                          </w:pPr>
                        </w:p>
                        <w:p w:rsidR="001074E6" w:rsidRDefault="001074E6" w:rsidP="008F63F2">
                          <w:pPr>
                            <w:pStyle w:val="Masthead"/>
                            <w:rPr>
                              <w:rFonts w:ascii="Arial" w:hAnsi="Arial" w:cs="Arial"/>
                              <w:color w:val="333333"/>
                              <w:sz w:val="4"/>
                              <w:szCs w:val="4"/>
                              <w:lang w:val="pt-BR"/>
                            </w:rPr>
                          </w:pPr>
                        </w:p>
                        <w:p w:rsidR="00FE7DF4" w:rsidRPr="00A11C00" w:rsidRDefault="00FE7DF4" w:rsidP="008F63F2">
                          <w:pPr>
                            <w:pStyle w:val="Masthead"/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</w:pPr>
                          <w:r w:rsidRPr="00A11C00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ESTADO DE MATO GROSSO</w:t>
                          </w:r>
                        </w:p>
                        <w:p w:rsidR="00FE7DF4" w:rsidRDefault="00FE7DF4" w:rsidP="008F63F2">
                          <w:pPr>
                            <w:pStyle w:val="Masthead"/>
                            <w:rPr>
                              <w:rFonts w:ascii="Arial" w:hAnsi="Arial" w:cs="Arial"/>
                              <w:b/>
                              <w:color w:val="333333"/>
                              <w:sz w:val="25"/>
                              <w:szCs w:val="25"/>
                              <w:lang w:val="pt-BR"/>
                            </w:rPr>
                          </w:pPr>
                          <w:r w:rsidRPr="00A11C00">
                            <w:rPr>
                              <w:rFonts w:ascii="Arial" w:hAnsi="Arial" w:cs="Arial"/>
                              <w:b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 xml:space="preserve">PREFEITURA MUNICIPAL DE </w:t>
                          </w:r>
                          <w:r w:rsidR="006972DC">
                            <w:rPr>
                              <w:rFonts w:ascii="Arial" w:hAnsi="Arial" w:cs="Arial"/>
                              <w:b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CAMPINÁ</w:t>
                          </w:r>
                          <w:r w:rsidR="00557DC6">
                            <w:rPr>
                              <w:rFonts w:ascii="Arial" w:hAnsi="Arial" w:cs="Arial"/>
                              <w:b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POLIS</w:t>
                          </w:r>
                        </w:p>
                        <w:p w:rsidR="003277FC" w:rsidRPr="00A11C00" w:rsidRDefault="003277FC" w:rsidP="008F63F2">
                          <w:pPr>
                            <w:pStyle w:val="Masthead"/>
                            <w:rPr>
                              <w:rFonts w:ascii="Arial" w:hAnsi="Arial" w:cs="Arial"/>
                              <w:b/>
                              <w:color w:val="333333"/>
                              <w:sz w:val="25"/>
                              <w:szCs w:val="25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PROCURADORIA DO MUNICÍPIO</w:t>
                          </w:r>
                        </w:p>
                        <w:p w:rsidR="00FE7DF4" w:rsidRDefault="00FE7DF4" w:rsidP="008F63F2">
                          <w:pPr>
                            <w:pStyle w:val="Masthead"/>
                            <w:rPr>
                              <w:rFonts w:ascii="Arial" w:hAnsi="Arial" w:cs="Arial"/>
                              <w:color w:val="333333"/>
                              <w:sz w:val="6"/>
                              <w:szCs w:val="6"/>
                              <w:lang w:val="pt-BR"/>
                            </w:rPr>
                          </w:pPr>
                          <w:r w:rsidRPr="00A11C00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CNPJ</w:t>
                          </w:r>
                          <w:r w:rsidR="00557DC6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: 00</w:t>
                          </w:r>
                          <w:r w:rsidRPr="00A11C00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.</w:t>
                          </w:r>
                          <w:r w:rsidR="00557DC6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965</w:t>
                          </w:r>
                          <w:r w:rsidRPr="00A11C00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.</w:t>
                          </w:r>
                          <w:r w:rsidR="00557DC6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15</w:t>
                          </w:r>
                          <w:r w:rsidRPr="00A11C00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2/0001-</w:t>
                          </w:r>
                          <w:r w:rsidR="00557DC6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2</w:t>
                          </w:r>
                          <w:r w:rsidRPr="00A11C00">
                            <w:rPr>
                              <w:rFonts w:ascii="Arial" w:hAnsi="Arial" w:cs="Arial"/>
                              <w:color w:val="333333"/>
                              <w:sz w:val="25"/>
                              <w:szCs w:val="25"/>
                              <w:lang w:val="pt-BR"/>
                            </w:rPr>
                            <w:t>9</w:t>
                          </w:r>
                        </w:p>
                        <w:p w:rsidR="001074E6" w:rsidRPr="001074E6" w:rsidRDefault="001074E6" w:rsidP="008F63F2">
                          <w:pPr>
                            <w:pStyle w:val="Masthead"/>
                            <w:rPr>
                              <w:rFonts w:ascii="Arial" w:hAnsi="Arial" w:cs="Arial"/>
                              <w:color w:val="333333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:rsidR="001074E6" w:rsidRDefault="001074E6" w:rsidP="008F63F2">
                          <w:pPr>
                            <w:pStyle w:val="Masthead"/>
                            <w:rPr>
                              <w:rStyle w:val="Hyperlink"/>
                              <w:rFonts w:ascii="Arial" w:hAnsi="Arial" w:cs="Arial"/>
                              <w:sz w:val="20"/>
                              <w:lang w:val="pt-BR"/>
                            </w:rPr>
                          </w:pPr>
                          <w:r w:rsidRPr="001074E6">
                            <w:rPr>
                              <w:rFonts w:ascii="Arial" w:hAnsi="Arial" w:cs="Arial"/>
                              <w:color w:val="333333"/>
                              <w:sz w:val="20"/>
                              <w:lang w:val="pt-BR"/>
                            </w:rPr>
                            <w:t xml:space="preserve">E-mail. </w:t>
                          </w:r>
                          <w:hyperlink r:id="rId1" w:history="1">
                            <w:r w:rsidR="00E56178" w:rsidRPr="00175080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pt-BR"/>
                              </w:rPr>
                              <w:t>gabinetepmcampinapolis@gmail.com</w:t>
                            </w:r>
                          </w:hyperlink>
                        </w:p>
                        <w:p w:rsidR="00E56178" w:rsidRDefault="00E56178" w:rsidP="008F63F2">
                          <w:pPr>
                            <w:pStyle w:val="Masthead"/>
                            <w:rPr>
                              <w:rFonts w:ascii="Arial" w:hAnsi="Arial" w:cs="Arial"/>
                              <w:color w:val="333333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65pt;margin-top:43.55pt;width:380pt;height:81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" filled="f" stroked="f">
              <v:textbox inset="0,0,0,0">
                <w:txbxContent>
                  <w:p w:rsidR="001074E6" w:rsidRDefault="001074E6" w:rsidP="008F63F2">
                    <w:pPr>
                      <w:pStyle w:val="Masthead"/>
                      <w:rPr>
                        <w:rFonts w:ascii="Arial" w:hAnsi="Arial" w:cs="Arial"/>
                        <w:color w:val="333333"/>
                        <w:sz w:val="4"/>
                        <w:szCs w:val="4"/>
                        <w:lang w:val="pt-BR"/>
                      </w:rPr>
                    </w:pPr>
                  </w:p>
                  <w:p w:rsidR="001074E6" w:rsidRDefault="001074E6" w:rsidP="008F63F2">
                    <w:pPr>
                      <w:pStyle w:val="Masthead"/>
                      <w:rPr>
                        <w:rFonts w:ascii="Arial" w:hAnsi="Arial" w:cs="Arial"/>
                        <w:color w:val="333333"/>
                        <w:sz w:val="4"/>
                        <w:szCs w:val="4"/>
                        <w:lang w:val="pt-BR"/>
                      </w:rPr>
                    </w:pPr>
                  </w:p>
                  <w:p w:rsidR="00FE7DF4" w:rsidRPr="00A11C00" w:rsidRDefault="00FE7DF4" w:rsidP="008F63F2">
                    <w:pPr>
                      <w:pStyle w:val="Masthead"/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</w:pPr>
                    <w:r w:rsidRPr="00A11C00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ESTADO DE MATO GROSSO</w:t>
                    </w:r>
                  </w:p>
                  <w:p w:rsidR="00FE7DF4" w:rsidRDefault="00FE7DF4" w:rsidP="008F63F2">
                    <w:pPr>
                      <w:pStyle w:val="Masthead"/>
                      <w:rPr>
                        <w:rFonts w:ascii="Arial" w:hAnsi="Arial" w:cs="Arial"/>
                        <w:b/>
                        <w:color w:val="333333"/>
                        <w:sz w:val="25"/>
                        <w:szCs w:val="25"/>
                        <w:lang w:val="pt-BR"/>
                      </w:rPr>
                    </w:pPr>
                    <w:r w:rsidRPr="00A11C00">
                      <w:rPr>
                        <w:rFonts w:ascii="Arial" w:hAnsi="Arial" w:cs="Arial"/>
                        <w:b/>
                        <w:color w:val="333333"/>
                        <w:sz w:val="25"/>
                        <w:szCs w:val="25"/>
                        <w:lang w:val="pt-BR"/>
                      </w:rPr>
                      <w:t xml:space="preserve">PREFEITURA MUNICIPAL DE </w:t>
                    </w:r>
                    <w:r w:rsidR="006972DC">
                      <w:rPr>
                        <w:rFonts w:ascii="Arial" w:hAnsi="Arial" w:cs="Arial"/>
                        <w:b/>
                        <w:color w:val="333333"/>
                        <w:sz w:val="25"/>
                        <w:szCs w:val="25"/>
                        <w:lang w:val="pt-BR"/>
                      </w:rPr>
                      <w:t>CAMPINÁ</w:t>
                    </w:r>
                    <w:r w:rsidR="00557DC6">
                      <w:rPr>
                        <w:rFonts w:ascii="Arial" w:hAnsi="Arial" w:cs="Arial"/>
                        <w:b/>
                        <w:color w:val="333333"/>
                        <w:sz w:val="25"/>
                        <w:szCs w:val="25"/>
                        <w:lang w:val="pt-BR"/>
                      </w:rPr>
                      <w:t>POLIS</w:t>
                    </w:r>
                  </w:p>
                  <w:p w:rsidR="003277FC" w:rsidRPr="00A11C00" w:rsidRDefault="003277FC" w:rsidP="008F63F2">
                    <w:pPr>
                      <w:pStyle w:val="Masthead"/>
                      <w:rPr>
                        <w:rFonts w:ascii="Arial" w:hAnsi="Arial" w:cs="Arial"/>
                        <w:b/>
                        <w:color w:val="333333"/>
                        <w:sz w:val="25"/>
                        <w:szCs w:val="25"/>
                        <w:lang w:val="pt-BR"/>
                      </w:rPr>
                    </w:pPr>
                    <w:r>
                      <w:rPr>
                        <w:rFonts w:ascii="Arial" w:hAnsi="Arial" w:cs="Arial"/>
                        <w:b/>
                        <w:color w:val="333333"/>
                        <w:sz w:val="25"/>
                        <w:szCs w:val="25"/>
                        <w:lang w:val="pt-BR"/>
                      </w:rPr>
                      <w:t>PROCURADORIA DO MUNICÍPIO</w:t>
                    </w:r>
                  </w:p>
                  <w:p w:rsidR="00FE7DF4" w:rsidRDefault="00FE7DF4" w:rsidP="008F63F2">
                    <w:pPr>
                      <w:pStyle w:val="Masthead"/>
                      <w:rPr>
                        <w:rFonts w:ascii="Arial" w:hAnsi="Arial" w:cs="Arial"/>
                        <w:color w:val="333333"/>
                        <w:sz w:val="6"/>
                        <w:szCs w:val="6"/>
                        <w:lang w:val="pt-BR"/>
                      </w:rPr>
                    </w:pPr>
                    <w:r w:rsidRPr="00A11C00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CNPJ</w:t>
                    </w:r>
                    <w:r w:rsidR="00557DC6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: 00</w:t>
                    </w:r>
                    <w:r w:rsidRPr="00A11C00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.</w:t>
                    </w:r>
                    <w:r w:rsidR="00557DC6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965</w:t>
                    </w:r>
                    <w:r w:rsidRPr="00A11C00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.</w:t>
                    </w:r>
                    <w:r w:rsidR="00557DC6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15</w:t>
                    </w:r>
                    <w:r w:rsidRPr="00A11C00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2/0001-</w:t>
                    </w:r>
                    <w:r w:rsidR="00557DC6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2</w:t>
                    </w:r>
                    <w:r w:rsidRPr="00A11C00">
                      <w:rPr>
                        <w:rFonts w:ascii="Arial" w:hAnsi="Arial" w:cs="Arial"/>
                        <w:color w:val="333333"/>
                        <w:sz w:val="25"/>
                        <w:szCs w:val="25"/>
                        <w:lang w:val="pt-BR"/>
                      </w:rPr>
                      <w:t>9</w:t>
                    </w:r>
                  </w:p>
                  <w:p w:rsidR="001074E6" w:rsidRPr="001074E6" w:rsidRDefault="001074E6" w:rsidP="008F63F2">
                    <w:pPr>
                      <w:pStyle w:val="Masthead"/>
                      <w:rPr>
                        <w:rFonts w:ascii="Arial" w:hAnsi="Arial" w:cs="Arial"/>
                        <w:color w:val="333333"/>
                        <w:sz w:val="6"/>
                        <w:szCs w:val="6"/>
                        <w:lang w:val="pt-BR"/>
                      </w:rPr>
                    </w:pPr>
                  </w:p>
                  <w:p w:rsidR="001074E6" w:rsidRDefault="001074E6" w:rsidP="008F63F2">
                    <w:pPr>
                      <w:pStyle w:val="Masthead"/>
                      <w:rPr>
                        <w:rStyle w:val="Hyperlink"/>
                        <w:rFonts w:ascii="Arial" w:hAnsi="Arial" w:cs="Arial"/>
                        <w:sz w:val="20"/>
                        <w:lang w:val="pt-BR"/>
                      </w:rPr>
                    </w:pPr>
                    <w:r w:rsidRPr="001074E6">
                      <w:rPr>
                        <w:rFonts w:ascii="Arial" w:hAnsi="Arial" w:cs="Arial"/>
                        <w:color w:val="333333"/>
                        <w:sz w:val="20"/>
                        <w:lang w:val="pt-BR"/>
                      </w:rPr>
                      <w:t xml:space="preserve">E-mail. </w:t>
                    </w:r>
                    <w:hyperlink r:id="rId2" w:history="1">
                      <w:r w:rsidR="00E56178" w:rsidRPr="00175080">
                        <w:rPr>
                          <w:rStyle w:val="Hyperlink"/>
                          <w:rFonts w:ascii="Arial" w:hAnsi="Arial" w:cs="Arial"/>
                          <w:sz w:val="20"/>
                          <w:lang w:val="pt-BR"/>
                        </w:rPr>
                        <w:t>gabinetepmcampinapolis@gmail.com</w:t>
                      </w:r>
                    </w:hyperlink>
                  </w:p>
                  <w:p w:rsidR="00E56178" w:rsidRDefault="00E56178" w:rsidP="008F63F2">
                    <w:pPr>
                      <w:pStyle w:val="Masthead"/>
                      <w:rPr>
                        <w:rFonts w:ascii="Arial" w:hAnsi="Arial" w:cs="Arial"/>
                        <w:color w:val="333333"/>
                        <w:sz w:val="6"/>
                        <w:szCs w:val="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2A7F">
      <w:rPr>
        <w:noProof/>
        <w:lang w:val="pt-BR"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-116249</wp:posOffset>
          </wp:positionH>
          <wp:positionV relativeFrom="paragraph">
            <wp:posOffset>-261354</wp:posOffset>
          </wp:positionV>
          <wp:extent cx="1095375" cy="1085363"/>
          <wp:effectExtent l="0" t="0" r="0" b="635"/>
          <wp:wrapNone/>
          <wp:docPr id="5" name="Imagem 5" descr="J:\Ofi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J:\Ofici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85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3743325</wp:posOffset>
              </wp:positionV>
              <wp:extent cx="6057900" cy="4486275"/>
              <wp:effectExtent l="0" t="0" r="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48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DF4" w:rsidRPr="00557DC6" w:rsidRDefault="00FE7DF4" w:rsidP="00557DC6">
                          <w:pPr>
                            <w:rPr>
                              <w:rFonts w:ascii="Trebuchet MS" w:hAnsi="Trebuchet MS"/>
                              <w:b/>
                              <w:color w:val="C0C0C0"/>
                              <w:sz w:val="60"/>
                              <w:szCs w:val="6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90pt;margin-top:294.75pt;width:477pt;height:3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pz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" filled="f" stroked="f">
              <v:textbox inset="0,0,0,0">
                <w:txbxContent>
                  <w:p w:rsidR="00FE7DF4" w:rsidRPr="00557DC6" w:rsidRDefault="00FE7DF4" w:rsidP="00557DC6">
                    <w:pPr>
                      <w:rPr>
                        <w:rFonts w:ascii="Trebuchet MS" w:hAnsi="Trebuchet MS"/>
                        <w:b/>
                        <w:color w:val="C0C0C0"/>
                        <w:sz w:val="60"/>
                        <w:szCs w:val="6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1947544</wp:posOffset>
              </wp:positionV>
              <wp:extent cx="6697345" cy="0"/>
              <wp:effectExtent l="0" t="0" r="2730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734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6E1CD8F" id="Line 6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34.6pt,153.35pt" to="561.9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" strokecolor="#94b64e [3046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6D50"/>
    <w:multiLevelType w:val="hybridMultilevel"/>
    <w:tmpl w:val="52EE0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55453"/>
    <w:multiLevelType w:val="hybridMultilevel"/>
    <w:tmpl w:val="6B204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347D8"/>
    <w:multiLevelType w:val="hybridMultilevel"/>
    <w:tmpl w:val="697886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6DFA"/>
    <w:multiLevelType w:val="hybridMultilevel"/>
    <w:tmpl w:val="784EDE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D075C"/>
    <w:multiLevelType w:val="hybridMultilevel"/>
    <w:tmpl w:val="232CB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A7C3C"/>
    <w:multiLevelType w:val="hybridMultilevel"/>
    <w:tmpl w:val="648A98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047E"/>
    <w:multiLevelType w:val="hybridMultilevel"/>
    <w:tmpl w:val="43581D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406D8"/>
    <w:multiLevelType w:val="hybridMultilevel"/>
    <w:tmpl w:val="47D4FA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7BC6"/>
    <w:multiLevelType w:val="hybridMultilevel"/>
    <w:tmpl w:val="D43A6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18FB"/>
    <w:multiLevelType w:val="hybridMultilevel"/>
    <w:tmpl w:val="F58EE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D5049"/>
    <w:multiLevelType w:val="hybridMultilevel"/>
    <w:tmpl w:val="B8B23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717B3"/>
    <w:multiLevelType w:val="hybridMultilevel"/>
    <w:tmpl w:val="65E69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F506B"/>
    <w:multiLevelType w:val="hybridMultilevel"/>
    <w:tmpl w:val="A186318E"/>
    <w:lvl w:ilvl="0" w:tplc="0416000B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>
    <w:nsid w:val="78A65B7B"/>
    <w:multiLevelType w:val="hybridMultilevel"/>
    <w:tmpl w:val="583C58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2776F"/>
    <w:multiLevelType w:val="hybridMultilevel"/>
    <w:tmpl w:val="50621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4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D"/>
    <w:rsid w:val="0000095C"/>
    <w:rsid w:val="000073B9"/>
    <w:rsid w:val="00015995"/>
    <w:rsid w:val="00033B4C"/>
    <w:rsid w:val="0004545A"/>
    <w:rsid w:val="00045D00"/>
    <w:rsid w:val="00050613"/>
    <w:rsid w:val="00052D65"/>
    <w:rsid w:val="0005366D"/>
    <w:rsid w:val="00060B1D"/>
    <w:rsid w:val="000617A0"/>
    <w:rsid w:val="00074730"/>
    <w:rsid w:val="0007696D"/>
    <w:rsid w:val="000807D9"/>
    <w:rsid w:val="00082BC0"/>
    <w:rsid w:val="000849E5"/>
    <w:rsid w:val="00085C62"/>
    <w:rsid w:val="00086B3D"/>
    <w:rsid w:val="0009030C"/>
    <w:rsid w:val="00094EBF"/>
    <w:rsid w:val="00096544"/>
    <w:rsid w:val="000A5282"/>
    <w:rsid w:val="000A7A95"/>
    <w:rsid w:val="000B1EF8"/>
    <w:rsid w:val="000B31B4"/>
    <w:rsid w:val="000B3EDB"/>
    <w:rsid w:val="000B402A"/>
    <w:rsid w:val="000B56A1"/>
    <w:rsid w:val="000C150E"/>
    <w:rsid w:val="000C4F2E"/>
    <w:rsid w:val="000D017B"/>
    <w:rsid w:val="000D6484"/>
    <w:rsid w:val="000E3A0D"/>
    <w:rsid w:val="000E4902"/>
    <w:rsid w:val="000F14B4"/>
    <w:rsid w:val="000F3130"/>
    <w:rsid w:val="000F4653"/>
    <w:rsid w:val="000F53C9"/>
    <w:rsid w:val="000F5A1A"/>
    <w:rsid w:val="00101395"/>
    <w:rsid w:val="001019C0"/>
    <w:rsid w:val="00103CD5"/>
    <w:rsid w:val="00104A4A"/>
    <w:rsid w:val="00105FA8"/>
    <w:rsid w:val="001074E6"/>
    <w:rsid w:val="001101C9"/>
    <w:rsid w:val="00115951"/>
    <w:rsid w:val="00115A53"/>
    <w:rsid w:val="0012014A"/>
    <w:rsid w:val="00121B97"/>
    <w:rsid w:val="00125692"/>
    <w:rsid w:val="00126A9B"/>
    <w:rsid w:val="00130A98"/>
    <w:rsid w:val="00130AAF"/>
    <w:rsid w:val="00131B94"/>
    <w:rsid w:val="00134674"/>
    <w:rsid w:val="00134C4B"/>
    <w:rsid w:val="0014060A"/>
    <w:rsid w:val="00153B57"/>
    <w:rsid w:val="00156A03"/>
    <w:rsid w:val="0017053B"/>
    <w:rsid w:val="00172D5C"/>
    <w:rsid w:val="0017617D"/>
    <w:rsid w:val="00182213"/>
    <w:rsid w:val="00182602"/>
    <w:rsid w:val="00185AE8"/>
    <w:rsid w:val="00187068"/>
    <w:rsid w:val="00187C66"/>
    <w:rsid w:val="00187CA4"/>
    <w:rsid w:val="00190100"/>
    <w:rsid w:val="0019014A"/>
    <w:rsid w:val="00192666"/>
    <w:rsid w:val="00196FF6"/>
    <w:rsid w:val="00197BAA"/>
    <w:rsid w:val="001B4566"/>
    <w:rsid w:val="001B4EDA"/>
    <w:rsid w:val="001B6E4D"/>
    <w:rsid w:val="001C0B51"/>
    <w:rsid w:val="001E43D3"/>
    <w:rsid w:val="001E4D96"/>
    <w:rsid w:val="001E5A20"/>
    <w:rsid w:val="001E78FB"/>
    <w:rsid w:val="001F56CA"/>
    <w:rsid w:val="001F736B"/>
    <w:rsid w:val="002007B4"/>
    <w:rsid w:val="00210A01"/>
    <w:rsid w:val="002134A2"/>
    <w:rsid w:val="00220C37"/>
    <w:rsid w:val="00226B8B"/>
    <w:rsid w:val="00240B2A"/>
    <w:rsid w:val="002463C1"/>
    <w:rsid w:val="00254FAA"/>
    <w:rsid w:val="00261836"/>
    <w:rsid w:val="00263479"/>
    <w:rsid w:val="0028090A"/>
    <w:rsid w:val="00284858"/>
    <w:rsid w:val="00284912"/>
    <w:rsid w:val="00284B15"/>
    <w:rsid w:val="00290D5C"/>
    <w:rsid w:val="002913B3"/>
    <w:rsid w:val="002934AC"/>
    <w:rsid w:val="00296BC5"/>
    <w:rsid w:val="002A0051"/>
    <w:rsid w:val="002A7F27"/>
    <w:rsid w:val="002B01F7"/>
    <w:rsid w:val="002B1BE0"/>
    <w:rsid w:val="002B3B37"/>
    <w:rsid w:val="002B6FF9"/>
    <w:rsid w:val="002C324F"/>
    <w:rsid w:val="002C4EC1"/>
    <w:rsid w:val="002D4803"/>
    <w:rsid w:val="002D4A7D"/>
    <w:rsid w:val="002D510F"/>
    <w:rsid w:val="002F3864"/>
    <w:rsid w:val="002F5A35"/>
    <w:rsid w:val="003022B7"/>
    <w:rsid w:val="00313E77"/>
    <w:rsid w:val="00314738"/>
    <w:rsid w:val="00325C15"/>
    <w:rsid w:val="003273C8"/>
    <w:rsid w:val="003277FC"/>
    <w:rsid w:val="00331925"/>
    <w:rsid w:val="00332CFB"/>
    <w:rsid w:val="00351BE1"/>
    <w:rsid w:val="003529BA"/>
    <w:rsid w:val="00355933"/>
    <w:rsid w:val="0036205E"/>
    <w:rsid w:val="00367FD3"/>
    <w:rsid w:val="00371AF8"/>
    <w:rsid w:val="003822E1"/>
    <w:rsid w:val="0038550A"/>
    <w:rsid w:val="0039245E"/>
    <w:rsid w:val="003944BF"/>
    <w:rsid w:val="003963AF"/>
    <w:rsid w:val="003A20AE"/>
    <w:rsid w:val="003A5A27"/>
    <w:rsid w:val="003B26A4"/>
    <w:rsid w:val="003B4358"/>
    <w:rsid w:val="003C2C02"/>
    <w:rsid w:val="003C74F3"/>
    <w:rsid w:val="003D6C72"/>
    <w:rsid w:val="003E532F"/>
    <w:rsid w:val="004028DB"/>
    <w:rsid w:val="00417BD0"/>
    <w:rsid w:val="004235E0"/>
    <w:rsid w:val="0042368B"/>
    <w:rsid w:val="00426C86"/>
    <w:rsid w:val="004417C6"/>
    <w:rsid w:val="00443214"/>
    <w:rsid w:val="004454A4"/>
    <w:rsid w:val="00450B6C"/>
    <w:rsid w:val="00451769"/>
    <w:rsid w:val="00451EF2"/>
    <w:rsid w:val="00452B3C"/>
    <w:rsid w:val="004679A9"/>
    <w:rsid w:val="00472236"/>
    <w:rsid w:val="00475E94"/>
    <w:rsid w:val="00487CD7"/>
    <w:rsid w:val="004A036B"/>
    <w:rsid w:val="004A2F28"/>
    <w:rsid w:val="004A5D20"/>
    <w:rsid w:val="004B4C98"/>
    <w:rsid w:val="004B7B71"/>
    <w:rsid w:val="004C072F"/>
    <w:rsid w:val="004C08A4"/>
    <w:rsid w:val="004C63A2"/>
    <w:rsid w:val="004D4BF7"/>
    <w:rsid w:val="004E2B85"/>
    <w:rsid w:val="004E4DD4"/>
    <w:rsid w:val="004E6449"/>
    <w:rsid w:val="004E6759"/>
    <w:rsid w:val="00500F68"/>
    <w:rsid w:val="00511FA1"/>
    <w:rsid w:val="00513D92"/>
    <w:rsid w:val="0051651C"/>
    <w:rsid w:val="00522908"/>
    <w:rsid w:val="00523218"/>
    <w:rsid w:val="00523764"/>
    <w:rsid w:val="00523AE6"/>
    <w:rsid w:val="0053145F"/>
    <w:rsid w:val="00536FEA"/>
    <w:rsid w:val="00546114"/>
    <w:rsid w:val="00550EA0"/>
    <w:rsid w:val="00551B20"/>
    <w:rsid w:val="0055522C"/>
    <w:rsid w:val="00555527"/>
    <w:rsid w:val="00557DC6"/>
    <w:rsid w:val="0056615A"/>
    <w:rsid w:val="00567030"/>
    <w:rsid w:val="005705C2"/>
    <w:rsid w:val="0057500F"/>
    <w:rsid w:val="00581C29"/>
    <w:rsid w:val="00581CC6"/>
    <w:rsid w:val="00590A4C"/>
    <w:rsid w:val="00592018"/>
    <w:rsid w:val="00592F08"/>
    <w:rsid w:val="005930EE"/>
    <w:rsid w:val="005A6EDC"/>
    <w:rsid w:val="005B00AC"/>
    <w:rsid w:val="005B4732"/>
    <w:rsid w:val="005B54A8"/>
    <w:rsid w:val="005C0D2E"/>
    <w:rsid w:val="005C1A60"/>
    <w:rsid w:val="005D2F18"/>
    <w:rsid w:val="005D5657"/>
    <w:rsid w:val="005F06F7"/>
    <w:rsid w:val="005F2AE2"/>
    <w:rsid w:val="005F5911"/>
    <w:rsid w:val="00601BC7"/>
    <w:rsid w:val="00606307"/>
    <w:rsid w:val="00606BCB"/>
    <w:rsid w:val="006078AB"/>
    <w:rsid w:val="00607AA3"/>
    <w:rsid w:val="00616C0F"/>
    <w:rsid w:val="00620190"/>
    <w:rsid w:val="0062333A"/>
    <w:rsid w:val="0063092E"/>
    <w:rsid w:val="00632265"/>
    <w:rsid w:val="0063441E"/>
    <w:rsid w:val="00634896"/>
    <w:rsid w:val="006400AF"/>
    <w:rsid w:val="00643F7C"/>
    <w:rsid w:val="00644421"/>
    <w:rsid w:val="0064501D"/>
    <w:rsid w:val="00653EDF"/>
    <w:rsid w:val="0066510C"/>
    <w:rsid w:val="00665265"/>
    <w:rsid w:val="006657B1"/>
    <w:rsid w:val="00671507"/>
    <w:rsid w:val="00694D96"/>
    <w:rsid w:val="00694F98"/>
    <w:rsid w:val="00696902"/>
    <w:rsid w:val="006972DC"/>
    <w:rsid w:val="006A045B"/>
    <w:rsid w:val="006A192D"/>
    <w:rsid w:val="006A4579"/>
    <w:rsid w:val="006A6588"/>
    <w:rsid w:val="006B450D"/>
    <w:rsid w:val="006B61AB"/>
    <w:rsid w:val="006C0852"/>
    <w:rsid w:val="006C3EEE"/>
    <w:rsid w:val="006C5AEC"/>
    <w:rsid w:val="006C63B7"/>
    <w:rsid w:val="006D4412"/>
    <w:rsid w:val="006D618A"/>
    <w:rsid w:val="006D6855"/>
    <w:rsid w:val="006E18A7"/>
    <w:rsid w:val="006E555B"/>
    <w:rsid w:val="006E5D9B"/>
    <w:rsid w:val="00702046"/>
    <w:rsid w:val="007031E9"/>
    <w:rsid w:val="00703366"/>
    <w:rsid w:val="00703CB2"/>
    <w:rsid w:val="00706BEF"/>
    <w:rsid w:val="00722C3B"/>
    <w:rsid w:val="00723FA3"/>
    <w:rsid w:val="00724EED"/>
    <w:rsid w:val="00736B65"/>
    <w:rsid w:val="007448C4"/>
    <w:rsid w:val="007549A6"/>
    <w:rsid w:val="00760DA5"/>
    <w:rsid w:val="00760F5C"/>
    <w:rsid w:val="007644AE"/>
    <w:rsid w:val="00770EA8"/>
    <w:rsid w:val="00785A52"/>
    <w:rsid w:val="00791F42"/>
    <w:rsid w:val="00794954"/>
    <w:rsid w:val="00795CB5"/>
    <w:rsid w:val="007A0576"/>
    <w:rsid w:val="007A0F74"/>
    <w:rsid w:val="007C2199"/>
    <w:rsid w:val="007D0453"/>
    <w:rsid w:val="007D141F"/>
    <w:rsid w:val="007D328E"/>
    <w:rsid w:val="007E4749"/>
    <w:rsid w:val="007F798A"/>
    <w:rsid w:val="007F7E35"/>
    <w:rsid w:val="008014D8"/>
    <w:rsid w:val="00811626"/>
    <w:rsid w:val="00816315"/>
    <w:rsid w:val="008223CB"/>
    <w:rsid w:val="0083049C"/>
    <w:rsid w:val="00841A97"/>
    <w:rsid w:val="008437C4"/>
    <w:rsid w:val="00852445"/>
    <w:rsid w:val="00852B3C"/>
    <w:rsid w:val="00854BDF"/>
    <w:rsid w:val="008554D0"/>
    <w:rsid w:val="00855CD6"/>
    <w:rsid w:val="00862246"/>
    <w:rsid w:val="00864182"/>
    <w:rsid w:val="008662AE"/>
    <w:rsid w:val="00866C91"/>
    <w:rsid w:val="00870782"/>
    <w:rsid w:val="00880DAC"/>
    <w:rsid w:val="008868BE"/>
    <w:rsid w:val="00897CB2"/>
    <w:rsid w:val="008A17BF"/>
    <w:rsid w:val="008A47FB"/>
    <w:rsid w:val="008B1B1B"/>
    <w:rsid w:val="008B2283"/>
    <w:rsid w:val="008B25BB"/>
    <w:rsid w:val="008B3F96"/>
    <w:rsid w:val="008B5046"/>
    <w:rsid w:val="008B6B89"/>
    <w:rsid w:val="008B7F29"/>
    <w:rsid w:val="008C0934"/>
    <w:rsid w:val="008C0F90"/>
    <w:rsid w:val="008C425F"/>
    <w:rsid w:val="008C66AA"/>
    <w:rsid w:val="008D49AD"/>
    <w:rsid w:val="008D6A1F"/>
    <w:rsid w:val="008D6F66"/>
    <w:rsid w:val="008E19D0"/>
    <w:rsid w:val="008E2F52"/>
    <w:rsid w:val="008E37E6"/>
    <w:rsid w:val="008E45A3"/>
    <w:rsid w:val="008E563F"/>
    <w:rsid w:val="008F01DC"/>
    <w:rsid w:val="008F2CBD"/>
    <w:rsid w:val="008F63F2"/>
    <w:rsid w:val="008F6C7E"/>
    <w:rsid w:val="008F7E34"/>
    <w:rsid w:val="00905703"/>
    <w:rsid w:val="00912467"/>
    <w:rsid w:val="0091548B"/>
    <w:rsid w:val="009231BE"/>
    <w:rsid w:val="00932951"/>
    <w:rsid w:val="00932D48"/>
    <w:rsid w:val="0093772C"/>
    <w:rsid w:val="00937AD7"/>
    <w:rsid w:val="00940800"/>
    <w:rsid w:val="009422B9"/>
    <w:rsid w:val="00945EE7"/>
    <w:rsid w:val="00946E4F"/>
    <w:rsid w:val="00951C4A"/>
    <w:rsid w:val="0096016B"/>
    <w:rsid w:val="00963EC2"/>
    <w:rsid w:val="0096617E"/>
    <w:rsid w:val="0096731F"/>
    <w:rsid w:val="009710ED"/>
    <w:rsid w:val="00983514"/>
    <w:rsid w:val="00984737"/>
    <w:rsid w:val="00990659"/>
    <w:rsid w:val="00990F31"/>
    <w:rsid w:val="0099322A"/>
    <w:rsid w:val="0099740B"/>
    <w:rsid w:val="009A4C24"/>
    <w:rsid w:val="009C220B"/>
    <w:rsid w:val="009C2852"/>
    <w:rsid w:val="009C524A"/>
    <w:rsid w:val="009C686D"/>
    <w:rsid w:val="009C718F"/>
    <w:rsid w:val="009D2F87"/>
    <w:rsid w:val="009E501E"/>
    <w:rsid w:val="009F2A4D"/>
    <w:rsid w:val="009F32A2"/>
    <w:rsid w:val="009F5E79"/>
    <w:rsid w:val="00A024E0"/>
    <w:rsid w:val="00A10EAF"/>
    <w:rsid w:val="00A11C00"/>
    <w:rsid w:val="00A155E2"/>
    <w:rsid w:val="00A15B72"/>
    <w:rsid w:val="00A26131"/>
    <w:rsid w:val="00A2722F"/>
    <w:rsid w:val="00A31EAF"/>
    <w:rsid w:val="00A34AC6"/>
    <w:rsid w:val="00A34E1E"/>
    <w:rsid w:val="00A35B69"/>
    <w:rsid w:val="00A35EB3"/>
    <w:rsid w:val="00A4020C"/>
    <w:rsid w:val="00A457C8"/>
    <w:rsid w:val="00A50C5E"/>
    <w:rsid w:val="00A51C9E"/>
    <w:rsid w:val="00A549E2"/>
    <w:rsid w:val="00A55489"/>
    <w:rsid w:val="00A57DBF"/>
    <w:rsid w:val="00A70851"/>
    <w:rsid w:val="00A7175F"/>
    <w:rsid w:val="00A848F0"/>
    <w:rsid w:val="00AA54FA"/>
    <w:rsid w:val="00AB00FD"/>
    <w:rsid w:val="00AB0C12"/>
    <w:rsid w:val="00AB1426"/>
    <w:rsid w:val="00AB233B"/>
    <w:rsid w:val="00AB247B"/>
    <w:rsid w:val="00AC778F"/>
    <w:rsid w:val="00AD2509"/>
    <w:rsid w:val="00AD3284"/>
    <w:rsid w:val="00AE0C6E"/>
    <w:rsid w:val="00AE5C21"/>
    <w:rsid w:val="00AE6311"/>
    <w:rsid w:val="00AF1602"/>
    <w:rsid w:val="00B126BB"/>
    <w:rsid w:val="00B13113"/>
    <w:rsid w:val="00B17A5F"/>
    <w:rsid w:val="00B22544"/>
    <w:rsid w:val="00B25F82"/>
    <w:rsid w:val="00B269EF"/>
    <w:rsid w:val="00B315A7"/>
    <w:rsid w:val="00B343BC"/>
    <w:rsid w:val="00B34F4D"/>
    <w:rsid w:val="00B40814"/>
    <w:rsid w:val="00B427AB"/>
    <w:rsid w:val="00B47487"/>
    <w:rsid w:val="00B533FC"/>
    <w:rsid w:val="00B556CE"/>
    <w:rsid w:val="00B6343E"/>
    <w:rsid w:val="00B71428"/>
    <w:rsid w:val="00B724CC"/>
    <w:rsid w:val="00B76228"/>
    <w:rsid w:val="00B810F2"/>
    <w:rsid w:val="00B83C60"/>
    <w:rsid w:val="00B83E51"/>
    <w:rsid w:val="00B87182"/>
    <w:rsid w:val="00BA2A7F"/>
    <w:rsid w:val="00BB6557"/>
    <w:rsid w:val="00BC118E"/>
    <w:rsid w:val="00BC3337"/>
    <w:rsid w:val="00BC4731"/>
    <w:rsid w:val="00BC5C97"/>
    <w:rsid w:val="00BD4504"/>
    <w:rsid w:val="00BD5665"/>
    <w:rsid w:val="00BD5FB4"/>
    <w:rsid w:val="00BD67BE"/>
    <w:rsid w:val="00BE38DF"/>
    <w:rsid w:val="00BE6497"/>
    <w:rsid w:val="00BE6F6C"/>
    <w:rsid w:val="00BF526E"/>
    <w:rsid w:val="00C019B5"/>
    <w:rsid w:val="00C02267"/>
    <w:rsid w:val="00C06478"/>
    <w:rsid w:val="00C07065"/>
    <w:rsid w:val="00C117AC"/>
    <w:rsid w:val="00C13214"/>
    <w:rsid w:val="00C20C22"/>
    <w:rsid w:val="00C22936"/>
    <w:rsid w:val="00C24A0D"/>
    <w:rsid w:val="00C2688B"/>
    <w:rsid w:val="00C27A70"/>
    <w:rsid w:val="00C27B77"/>
    <w:rsid w:val="00C33D15"/>
    <w:rsid w:val="00C35976"/>
    <w:rsid w:val="00C35E48"/>
    <w:rsid w:val="00C37EE2"/>
    <w:rsid w:val="00C42BCC"/>
    <w:rsid w:val="00C51029"/>
    <w:rsid w:val="00C51283"/>
    <w:rsid w:val="00C5267A"/>
    <w:rsid w:val="00C64951"/>
    <w:rsid w:val="00C657D3"/>
    <w:rsid w:val="00C8333E"/>
    <w:rsid w:val="00C85372"/>
    <w:rsid w:val="00C85E98"/>
    <w:rsid w:val="00C8737B"/>
    <w:rsid w:val="00C92CC7"/>
    <w:rsid w:val="00C95C07"/>
    <w:rsid w:val="00C95E3B"/>
    <w:rsid w:val="00CA2BFA"/>
    <w:rsid w:val="00CA5F48"/>
    <w:rsid w:val="00CA6605"/>
    <w:rsid w:val="00CB3FA8"/>
    <w:rsid w:val="00CB43F9"/>
    <w:rsid w:val="00CC3A76"/>
    <w:rsid w:val="00CC76D5"/>
    <w:rsid w:val="00CD24B5"/>
    <w:rsid w:val="00CD2B05"/>
    <w:rsid w:val="00CD5C74"/>
    <w:rsid w:val="00CD668B"/>
    <w:rsid w:val="00CD66E1"/>
    <w:rsid w:val="00CE1DEC"/>
    <w:rsid w:val="00CE2963"/>
    <w:rsid w:val="00CE449B"/>
    <w:rsid w:val="00CE7704"/>
    <w:rsid w:val="00CE7809"/>
    <w:rsid w:val="00CE7DD1"/>
    <w:rsid w:val="00CF7122"/>
    <w:rsid w:val="00D010E7"/>
    <w:rsid w:val="00D03CE2"/>
    <w:rsid w:val="00D07F11"/>
    <w:rsid w:val="00D11951"/>
    <w:rsid w:val="00D13797"/>
    <w:rsid w:val="00D15069"/>
    <w:rsid w:val="00D156B5"/>
    <w:rsid w:val="00D15C52"/>
    <w:rsid w:val="00D22C2D"/>
    <w:rsid w:val="00D252A0"/>
    <w:rsid w:val="00D3032B"/>
    <w:rsid w:val="00D30F4A"/>
    <w:rsid w:val="00D35825"/>
    <w:rsid w:val="00D371AD"/>
    <w:rsid w:val="00D5372E"/>
    <w:rsid w:val="00D607A2"/>
    <w:rsid w:val="00D67505"/>
    <w:rsid w:val="00D77CD8"/>
    <w:rsid w:val="00D86319"/>
    <w:rsid w:val="00D9652C"/>
    <w:rsid w:val="00DA7022"/>
    <w:rsid w:val="00DA7DFB"/>
    <w:rsid w:val="00DB1AFA"/>
    <w:rsid w:val="00DB5E29"/>
    <w:rsid w:val="00DB7CD4"/>
    <w:rsid w:val="00DC0E88"/>
    <w:rsid w:val="00DC1EC1"/>
    <w:rsid w:val="00DC4CFD"/>
    <w:rsid w:val="00DD3EF4"/>
    <w:rsid w:val="00DD5EE5"/>
    <w:rsid w:val="00DD6252"/>
    <w:rsid w:val="00DD6C5A"/>
    <w:rsid w:val="00DE352D"/>
    <w:rsid w:val="00DE4500"/>
    <w:rsid w:val="00DF657D"/>
    <w:rsid w:val="00E021E8"/>
    <w:rsid w:val="00E05077"/>
    <w:rsid w:val="00E06F74"/>
    <w:rsid w:val="00E1428E"/>
    <w:rsid w:val="00E15857"/>
    <w:rsid w:val="00E1776A"/>
    <w:rsid w:val="00E17EF1"/>
    <w:rsid w:val="00E2056B"/>
    <w:rsid w:val="00E20576"/>
    <w:rsid w:val="00E256C9"/>
    <w:rsid w:val="00E37BF8"/>
    <w:rsid w:val="00E437B4"/>
    <w:rsid w:val="00E47C18"/>
    <w:rsid w:val="00E5342A"/>
    <w:rsid w:val="00E56178"/>
    <w:rsid w:val="00E564F4"/>
    <w:rsid w:val="00E73757"/>
    <w:rsid w:val="00E73879"/>
    <w:rsid w:val="00E77197"/>
    <w:rsid w:val="00E8103F"/>
    <w:rsid w:val="00E840E0"/>
    <w:rsid w:val="00E9101D"/>
    <w:rsid w:val="00E92AD8"/>
    <w:rsid w:val="00E936F5"/>
    <w:rsid w:val="00E9541B"/>
    <w:rsid w:val="00E969EE"/>
    <w:rsid w:val="00E96FB1"/>
    <w:rsid w:val="00EB3989"/>
    <w:rsid w:val="00EB4865"/>
    <w:rsid w:val="00EB66A9"/>
    <w:rsid w:val="00EC1688"/>
    <w:rsid w:val="00EC4CBD"/>
    <w:rsid w:val="00EC7A55"/>
    <w:rsid w:val="00EC7D0F"/>
    <w:rsid w:val="00ED218A"/>
    <w:rsid w:val="00ED6BF8"/>
    <w:rsid w:val="00EF2410"/>
    <w:rsid w:val="00EF6162"/>
    <w:rsid w:val="00F00659"/>
    <w:rsid w:val="00F01BC6"/>
    <w:rsid w:val="00F032B1"/>
    <w:rsid w:val="00F14469"/>
    <w:rsid w:val="00F16FA0"/>
    <w:rsid w:val="00F23785"/>
    <w:rsid w:val="00F45296"/>
    <w:rsid w:val="00F5050F"/>
    <w:rsid w:val="00F54111"/>
    <w:rsid w:val="00F61322"/>
    <w:rsid w:val="00F74B7A"/>
    <w:rsid w:val="00F77CE2"/>
    <w:rsid w:val="00F81A76"/>
    <w:rsid w:val="00F84E2D"/>
    <w:rsid w:val="00F85E12"/>
    <w:rsid w:val="00F87471"/>
    <w:rsid w:val="00FB2B39"/>
    <w:rsid w:val="00FC0DD5"/>
    <w:rsid w:val="00FC214C"/>
    <w:rsid w:val="00FC35AE"/>
    <w:rsid w:val="00FC5957"/>
    <w:rsid w:val="00FC64F7"/>
    <w:rsid w:val="00FD0261"/>
    <w:rsid w:val="00FE7493"/>
    <w:rsid w:val="00FE7DF4"/>
    <w:rsid w:val="00FF0B38"/>
    <w:rsid w:val="00FF5524"/>
    <w:rsid w:val="00F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29E23B-DA4A-4A3D-8124-9653A291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05"/>
    <w:rPr>
      <w:rFonts w:ascii="Arial" w:eastAsia="Times New Roman" w:hAnsi="Arial"/>
      <w:lang w:val="en-US" w:eastAsia="en-US"/>
    </w:rPr>
  </w:style>
  <w:style w:type="paragraph" w:styleId="Ttulo1">
    <w:name w:val="heading 1"/>
    <w:basedOn w:val="Normal"/>
    <w:next w:val="Normal"/>
    <w:qFormat/>
    <w:rsid w:val="00CD2B05"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Ttulo2">
    <w:name w:val="heading 2"/>
    <w:basedOn w:val="Ttulo1"/>
    <w:next w:val="Normal"/>
    <w:qFormat/>
    <w:rsid w:val="00CD2B05"/>
    <w:pPr>
      <w:spacing w:after="120" w:line="400" w:lineRule="exact"/>
      <w:jc w:val="left"/>
      <w:outlineLvl w:val="1"/>
    </w:pPr>
    <w:rPr>
      <w:sz w:val="36"/>
    </w:rPr>
  </w:style>
  <w:style w:type="paragraph" w:styleId="Ttulo3">
    <w:name w:val="heading 3"/>
    <w:basedOn w:val="Ttulo1"/>
    <w:next w:val="Normal"/>
    <w:qFormat/>
    <w:rsid w:val="00CD2B05"/>
    <w:pPr>
      <w:outlineLvl w:val="2"/>
    </w:pPr>
    <w:rPr>
      <w:sz w:val="36"/>
    </w:rPr>
  </w:style>
  <w:style w:type="paragraph" w:styleId="Ttulo4">
    <w:name w:val="heading 4"/>
    <w:basedOn w:val="Ttulo1"/>
    <w:next w:val="Normal"/>
    <w:qFormat/>
    <w:rsid w:val="00CD2B05"/>
    <w:pPr>
      <w:jc w:val="left"/>
      <w:outlineLvl w:val="3"/>
    </w:pPr>
    <w:rPr>
      <w:i/>
      <w:sz w:val="22"/>
    </w:rPr>
  </w:style>
  <w:style w:type="paragraph" w:styleId="Ttulo5">
    <w:name w:val="heading 5"/>
    <w:basedOn w:val="Ttulo1"/>
    <w:next w:val="Normal"/>
    <w:qFormat/>
    <w:rsid w:val="00CD2B05"/>
    <w:pPr>
      <w:ind w:left="58"/>
      <w:jc w:val="left"/>
      <w:outlineLvl w:val="4"/>
    </w:pPr>
    <w:rPr>
      <w:sz w:val="16"/>
    </w:rPr>
  </w:style>
  <w:style w:type="paragraph" w:styleId="Ttulo6">
    <w:name w:val="heading 6"/>
    <w:basedOn w:val="Ttulo1"/>
    <w:next w:val="Normal"/>
    <w:qFormat/>
    <w:rsid w:val="00CD2B05"/>
    <w:pPr>
      <w:outlineLvl w:val="5"/>
    </w:pPr>
  </w:style>
  <w:style w:type="paragraph" w:styleId="Ttulo7">
    <w:name w:val="heading 7"/>
    <w:basedOn w:val="Ttulo1"/>
    <w:next w:val="Normal"/>
    <w:qFormat/>
    <w:rsid w:val="00CD2B05"/>
    <w:pPr>
      <w:jc w:val="left"/>
      <w:outlineLvl w:val="6"/>
    </w:pPr>
    <w:rPr>
      <w:sz w:val="18"/>
    </w:rPr>
  </w:style>
  <w:style w:type="paragraph" w:styleId="Ttulo8">
    <w:name w:val="heading 8"/>
    <w:basedOn w:val="Ttulo1"/>
    <w:next w:val="Normal"/>
    <w:qFormat/>
    <w:rsid w:val="00CD2B05"/>
    <w:pPr>
      <w:outlineLvl w:val="7"/>
    </w:pPr>
  </w:style>
  <w:style w:type="paragraph" w:styleId="Ttulo9">
    <w:name w:val="heading 9"/>
    <w:basedOn w:val="Ttulo1"/>
    <w:next w:val="Normal"/>
    <w:qFormat/>
    <w:rsid w:val="00CD2B05"/>
    <w:pPr>
      <w:ind w:left="58"/>
      <w:jc w:val="left"/>
      <w:outlineLvl w:val="8"/>
    </w:pPr>
    <w:rPr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B05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Rodap">
    <w:name w:val="footer"/>
    <w:basedOn w:val="Normal"/>
    <w:rsid w:val="00CD2B05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D2B05"/>
    <w:pPr>
      <w:spacing w:after="120" w:line="240" w:lineRule="atLeast"/>
    </w:pPr>
  </w:style>
  <w:style w:type="paragraph" w:customStyle="1" w:styleId="Masthead">
    <w:name w:val="Masthead"/>
    <w:basedOn w:val="Ttulo1"/>
    <w:rsid w:val="00CD2B05"/>
    <w:pPr>
      <w:jc w:val="left"/>
    </w:pPr>
    <w:rPr>
      <w:color w:val="000000"/>
      <w:sz w:val="94"/>
    </w:rPr>
  </w:style>
  <w:style w:type="paragraph" w:styleId="Recuodecorpodetexto">
    <w:name w:val="Body Text Indent"/>
    <w:basedOn w:val="Normal"/>
    <w:rsid w:val="00CD2B05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Corpodetexto3">
    <w:name w:val="Body Text 3"/>
    <w:basedOn w:val="Normal"/>
    <w:rsid w:val="00CD2B05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"/>
    <w:rsid w:val="00CD2B05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rsid w:val="00CD2B05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Ttulo1"/>
    <w:rsid w:val="00CD2B05"/>
    <w:rPr>
      <w:color w:val="FFFFFF"/>
      <w:sz w:val="36"/>
    </w:rPr>
  </w:style>
  <w:style w:type="character" w:customStyle="1" w:styleId="tw4winMark">
    <w:name w:val="tw4winMark"/>
    <w:rsid w:val="00CD2B05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Textodebalo">
    <w:name w:val="Balloon Text"/>
    <w:basedOn w:val="Normal"/>
    <w:semiHidden/>
    <w:rsid w:val="00C019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00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074E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400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400AF"/>
    <w:rPr>
      <w:rFonts w:ascii="Arial" w:eastAsia="Times New Roman" w:hAnsi="Arial"/>
      <w:lang w:val="en-US" w:eastAsia="en-US"/>
    </w:rPr>
  </w:style>
  <w:style w:type="character" w:customStyle="1" w:styleId="st1">
    <w:name w:val="st1"/>
    <w:basedOn w:val="Fontepargpadro"/>
    <w:rsid w:val="00F01BC6"/>
  </w:style>
  <w:style w:type="paragraph" w:styleId="PargrafodaLista">
    <w:name w:val="List Paragraph"/>
    <w:basedOn w:val="Normal"/>
    <w:uiPriority w:val="34"/>
    <w:qFormat/>
    <w:rsid w:val="007F798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6510C"/>
    <w:rPr>
      <w:i/>
      <w:iCs/>
    </w:rPr>
  </w:style>
  <w:style w:type="character" w:customStyle="1" w:styleId="CabealhoChar">
    <w:name w:val="Cabeçalho Char"/>
    <w:basedOn w:val="Fontepargpadro"/>
    <w:link w:val="Cabealho"/>
    <w:rsid w:val="000C4F2E"/>
    <w:rPr>
      <w:rFonts w:ascii="Times New Roman" w:eastAsia="Times New Roman" w:hAnsi="Times New Roman"/>
      <w:lang w:val="en-US" w:eastAsia="en-US"/>
    </w:rPr>
  </w:style>
  <w:style w:type="paragraph" w:styleId="Ttulo">
    <w:name w:val="Title"/>
    <w:basedOn w:val="Normal"/>
    <w:next w:val="Subttulo"/>
    <w:link w:val="TtuloChar"/>
    <w:qFormat/>
    <w:rsid w:val="000C4F2E"/>
    <w:pPr>
      <w:suppressAutoHyphens/>
      <w:jc w:val="center"/>
    </w:pPr>
    <w:rPr>
      <w:rFonts w:ascii="Times New Roman" w:hAnsi="Times New Roman"/>
      <w:color w:val="008000"/>
      <w:sz w:val="32"/>
      <w:lang w:val="pt-BR" w:eastAsia="pt-BR"/>
    </w:rPr>
  </w:style>
  <w:style w:type="character" w:customStyle="1" w:styleId="TtuloChar">
    <w:name w:val="Título Char"/>
    <w:basedOn w:val="Fontepargpadro"/>
    <w:link w:val="Ttulo"/>
    <w:rsid w:val="000C4F2E"/>
    <w:rPr>
      <w:rFonts w:ascii="Times New Roman" w:eastAsia="Times New Roman" w:hAnsi="Times New Roman"/>
      <w:color w:val="008000"/>
      <w:sz w:val="32"/>
    </w:rPr>
  </w:style>
  <w:style w:type="paragraph" w:styleId="Subttulo">
    <w:name w:val="Subtitle"/>
    <w:basedOn w:val="Normal"/>
    <w:next w:val="Normal"/>
    <w:link w:val="SubttuloChar"/>
    <w:qFormat/>
    <w:rsid w:val="000C4F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C4F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670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06478"/>
    <w:rPr>
      <w:b/>
      <w:bCs/>
    </w:rPr>
  </w:style>
  <w:style w:type="paragraph" w:customStyle="1" w:styleId="Default">
    <w:name w:val="Default"/>
    <w:rsid w:val="001013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irstementa">
    <w:name w:val="firstementa"/>
    <w:basedOn w:val="Fontepargpadro"/>
    <w:rsid w:val="00AB1426"/>
  </w:style>
  <w:style w:type="character" w:customStyle="1" w:styleId="marcapalavra">
    <w:name w:val="marca_palavra"/>
    <w:basedOn w:val="Fontepargpadro"/>
    <w:rsid w:val="00AB1426"/>
  </w:style>
  <w:style w:type="character" w:customStyle="1" w:styleId="hidden">
    <w:name w:val="hidden"/>
    <w:basedOn w:val="Fontepargpadro"/>
    <w:rsid w:val="00AB1426"/>
  </w:style>
  <w:style w:type="character" w:customStyle="1" w:styleId="PargrafoNormalChar">
    <w:name w:val="Parágrafo Normal Char"/>
    <w:basedOn w:val="Fontepargpadro"/>
    <w:link w:val="PargrafoNormal"/>
    <w:locked/>
    <w:rsid w:val="003277FC"/>
    <w:rPr>
      <w:rFonts w:ascii="Arial" w:eastAsia="Times New Roman" w:hAnsi="Arial" w:cs="Arial"/>
      <w:sz w:val="24"/>
      <w:szCs w:val="24"/>
    </w:rPr>
  </w:style>
  <w:style w:type="paragraph" w:customStyle="1" w:styleId="PargrafoNormal">
    <w:name w:val="Parágrafo Normal"/>
    <w:basedOn w:val="Normal"/>
    <w:link w:val="PargrafoNormalChar"/>
    <w:rsid w:val="003277FC"/>
    <w:pPr>
      <w:autoSpaceDN w:val="0"/>
      <w:spacing w:after="60" w:line="360" w:lineRule="auto"/>
      <w:ind w:firstLine="1418"/>
      <w:jc w:val="both"/>
    </w:pPr>
    <w:rPr>
      <w:rFonts w:cs="Arial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3277FC"/>
  </w:style>
  <w:style w:type="paragraph" w:customStyle="1" w:styleId="texto">
    <w:name w:val="texto"/>
    <w:basedOn w:val="Normal"/>
    <w:rsid w:val="001F56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customStyle="1" w:styleId="citao">
    <w:name w:val="citao"/>
    <w:basedOn w:val="Normal"/>
    <w:rsid w:val="001F56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Citao0">
    <w:name w:val="Quote"/>
    <w:basedOn w:val="Normal"/>
    <w:link w:val="CitaoChar"/>
    <w:qFormat/>
    <w:rsid w:val="00C35976"/>
    <w:pPr>
      <w:spacing w:after="60"/>
      <w:ind w:left="2835"/>
      <w:jc w:val="both"/>
    </w:pPr>
    <w:rPr>
      <w:rFonts w:cs="Arial"/>
      <w:i/>
      <w:iCs/>
      <w:sz w:val="22"/>
      <w:szCs w:val="22"/>
      <w:lang w:val="pt-BR" w:eastAsia="pt-BR"/>
    </w:rPr>
  </w:style>
  <w:style w:type="character" w:customStyle="1" w:styleId="CitaoChar">
    <w:name w:val="Citação Char"/>
    <w:basedOn w:val="Fontepargpadro"/>
    <w:link w:val="Citao0"/>
    <w:uiPriority w:val="99"/>
    <w:rsid w:val="00C35976"/>
    <w:rPr>
      <w:rFonts w:ascii="Arial" w:eastAsia="Times New Roman" w:hAnsi="Arial" w:cs="Arial"/>
      <w:i/>
      <w:iCs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C35976"/>
    <w:pPr>
      <w:jc w:val="both"/>
    </w:pPr>
    <w:rPr>
      <w:rFonts w:cs="Arial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5976"/>
    <w:rPr>
      <w:rFonts w:ascii="Arial" w:eastAsia="Times New Roman" w:hAnsi="Arial" w:cs="Arial"/>
    </w:rPr>
  </w:style>
  <w:style w:type="character" w:styleId="Refdenotaderodap">
    <w:name w:val="footnote reference"/>
    <w:basedOn w:val="Fontepargpadro"/>
    <w:semiHidden/>
    <w:rsid w:val="00C35976"/>
    <w:rPr>
      <w:vertAlign w:val="superscript"/>
    </w:rPr>
  </w:style>
  <w:style w:type="character" w:customStyle="1" w:styleId="hiddensecondementa">
    <w:name w:val="hidden secondementa"/>
    <w:basedOn w:val="Fontepargpadro"/>
    <w:rsid w:val="00C35976"/>
  </w:style>
  <w:style w:type="paragraph" w:customStyle="1" w:styleId="Standard">
    <w:name w:val="Standard"/>
    <w:rsid w:val="00F74B7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F74B7A"/>
    <w:pPr>
      <w:jc w:val="both"/>
    </w:pPr>
  </w:style>
  <w:style w:type="character" w:customStyle="1" w:styleId="PargrafoNormalChar1">
    <w:name w:val="Parágrafo Normal Char1"/>
    <w:basedOn w:val="Fontepargpadro"/>
    <w:locked/>
    <w:rsid w:val="00F74B7A"/>
    <w:rPr>
      <w:rFonts w:ascii="Arial" w:eastAsia="Times New Roman" w:hAnsi="Arial" w:cs="Arial"/>
      <w:color w:val="auto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F74B7A"/>
    <w:pPr>
      <w:suppressAutoHyphens/>
      <w:spacing w:before="120" w:after="120"/>
      <w:ind w:firstLine="2835"/>
      <w:jc w:val="both"/>
    </w:pPr>
    <w:rPr>
      <w:rFonts w:ascii="Times New Roman" w:hAnsi="Times New Roman"/>
      <w:sz w:val="28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581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74276278/lei-13105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gabinetepmcampinapolis@gmail.com" TargetMode="External"/><Relationship Id="rId1" Type="http://schemas.openxmlformats.org/officeDocument/2006/relationships/hyperlink" Target="mailto:gabinetepmcampinapoli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mpinapolis%20-MT\tombre%20-%20COLORID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4F24-00A7-4221-835F-DCF9F1E6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tombre - COLORIDO</Template>
  <TotalTime>0</TotalTime>
  <Pages>7</Pages>
  <Words>1637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Educação:</vt:lpstr>
    </vt:vector>
  </TitlesOfParts>
  <Company>Microsoft Corporation</Company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Educação:</dc:title>
  <dc:creator>ANDERSON</dc:creator>
  <cp:lastModifiedBy>YANN DIEGGO</cp:lastModifiedBy>
  <cp:revision>2</cp:revision>
  <cp:lastPrinted>2019-08-13T15:48:00Z</cp:lastPrinted>
  <dcterms:created xsi:type="dcterms:W3CDTF">2019-08-28T18:08:00Z</dcterms:created>
  <dcterms:modified xsi:type="dcterms:W3CDTF">2019-08-28T18:08:00Z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TC010468901046</vt:lpwstr>
  </property>
</Properties>
</file>