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C435" w14:textId="752B1236" w:rsidR="0005575A" w:rsidRPr="00FA47EE" w:rsidRDefault="0005575A" w:rsidP="0005575A">
      <w:pPr>
        <w:pStyle w:val="Standard0"/>
        <w:spacing w:after="240"/>
        <w:jc w:val="center"/>
        <w:rPr>
          <w:rFonts w:ascii="Book Antiqua" w:hAnsi="Book Antiqua" w:cs="Tahoma"/>
          <w:b/>
          <w:smallCaps/>
          <w:sz w:val="32"/>
          <w:szCs w:val="32"/>
        </w:rPr>
      </w:pPr>
      <w:r w:rsidRPr="00FA47EE">
        <w:rPr>
          <w:rFonts w:ascii="Book Antiqua" w:hAnsi="Book Antiqua" w:cs="Tahoma"/>
          <w:b/>
          <w:smallCaps/>
          <w:sz w:val="32"/>
          <w:szCs w:val="32"/>
        </w:rPr>
        <w:t xml:space="preserve">AO JUÍZO DA VARA </w:t>
      </w:r>
      <w:r w:rsidR="00CB7C69" w:rsidRPr="00FA47EE">
        <w:rPr>
          <w:rFonts w:ascii="Book Antiqua" w:hAnsi="Book Antiqua" w:cs="Tahoma"/>
          <w:b/>
          <w:smallCaps/>
          <w:sz w:val="32"/>
          <w:szCs w:val="32"/>
        </w:rPr>
        <w:t>ÚNICA</w:t>
      </w:r>
      <w:r w:rsidRPr="00FA47EE">
        <w:rPr>
          <w:rFonts w:ascii="Book Antiqua" w:hAnsi="Book Antiqua" w:cs="Tahoma"/>
          <w:b/>
          <w:smallCaps/>
          <w:sz w:val="32"/>
          <w:szCs w:val="32"/>
        </w:rPr>
        <w:t xml:space="preserve"> DA COMARCA DE </w:t>
      </w:r>
      <w:r w:rsidR="00CB7C69" w:rsidRPr="00FA47EE">
        <w:rPr>
          <w:rFonts w:ascii="Book Antiqua" w:hAnsi="Book Antiqua" w:cs="Tahoma"/>
          <w:b/>
          <w:smallCaps/>
          <w:sz w:val="32"/>
          <w:szCs w:val="32"/>
        </w:rPr>
        <w:t>CAMPINÁPOLIS</w:t>
      </w:r>
      <w:r w:rsidRPr="00FA47EE">
        <w:rPr>
          <w:rFonts w:ascii="Book Antiqua" w:hAnsi="Book Antiqua" w:cs="Tahoma"/>
          <w:b/>
          <w:smallCaps/>
          <w:sz w:val="32"/>
          <w:szCs w:val="32"/>
        </w:rPr>
        <w:t>/MT</w:t>
      </w:r>
    </w:p>
    <w:p w14:paraId="4159EEC2" w14:textId="77777777" w:rsidR="0005575A" w:rsidRPr="00FA47EE" w:rsidRDefault="0005575A" w:rsidP="0005575A">
      <w:pPr>
        <w:pStyle w:val="Standard0"/>
        <w:tabs>
          <w:tab w:val="left" w:pos="2385"/>
        </w:tabs>
        <w:spacing w:after="240"/>
        <w:jc w:val="both"/>
        <w:rPr>
          <w:rFonts w:ascii="Book Antiqua" w:hAnsi="Book Antiqua" w:cs="Tahoma"/>
          <w:sz w:val="28"/>
          <w:szCs w:val="28"/>
        </w:rPr>
      </w:pPr>
    </w:p>
    <w:p w14:paraId="32296996" w14:textId="77777777" w:rsidR="0005575A" w:rsidRPr="00FA47EE" w:rsidRDefault="0005575A" w:rsidP="0005575A">
      <w:pPr>
        <w:pStyle w:val="Standard0"/>
        <w:tabs>
          <w:tab w:val="left" w:pos="2385"/>
        </w:tabs>
        <w:spacing w:after="240"/>
        <w:jc w:val="both"/>
        <w:rPr>
          <w:rFonts w:ascii="Book Antiqua" w:hAnsi="Book Antiqua" w:cs="Tahoma"/>
          <w:sz w:val="28"/>
          <w:szCs w:val="28"/>
        </w:rPr>
      </w:pPr>
    </w:p>
    <w:p w14:paraId="79C4628D" w14:textId="287461C8" w:rsidR="0005575A" w:rsidRPr="00FA47EE" w:rsidRDefault="0005575A" w:rsidP="0005575A">
      <w:pPr>
        <w:spacing w:after="240"/>
        <w:rPr>
          <w:rFonts w:ascii="Book Antiqua" w:hAnsi="Book Antiqua" w:cs="Tahoma"/>
          <w:b/>
          <w:bCs/>
          <w:sz w:val="28"/>
          <w:szCs w:val="28"/>
        </w:rPr>
      </w:pPr>
      <w:r w:rsidRPr="00FA47EE">
        <w:rPr>
          <w:rFonts w:ascii="Book Antiqua" w:hAnsi="Book Antiqua" w:cs="Tahoma"/>
          <w:b/>
          <w:bCs/>
          <w:sz w:val="28"/>
          <w:szCs w:val="28"/>
        </w:rPr>
        <w:t>Processo</w:t>
      </w:r>
      <w:r w:rsidR="00CB7C69" w:rsidRPr="00FA47EE">
        <w:rPr>
          <w:rFonts w:ascii="Book Antiqua" w:hAnsi="Book Antiqua" w:cs="Tahoma"/>
          <w:b/>
          <w:bCs/>
          <w:sz w:val="28"/>
          <w:szCs w:val="28"/>
        </w:rPr>
        <w:t xml:space="preserve"> nº</w:t>
      </w:r>
      <w:r w:rsidRPr="00FA47EE">
        <w:rPr>
          <w:rFonts w:ascii="Book Antiqua" w:hAnsi="Book Antiqua" w:cs="Tahoma"/>
          <w:b/>
          <w:bCs/>
          <w:sz w:val="28"/>
          <w:szCs w:val="28"/>
        </w:rPr>
        <w:t>: </w:t>
      </w:r>
      <w:r w:rsidR="00CB7C69" w:rsidRPr="00FA47EE">
        <w:rPr>
          <w:rFonts w:ascii="Book Antiqua" w:hAnsi="Book Antiqua" w:cs="Tahoma"/>
          <w:b/>
          <w:bCs/>
          <w:color w:val="FF0000"/>
          <w:sz w:val="28"/>
          <w:szCs w:val="28"/>
        </w:rPr>
        <w:t>0001900-45.2013.8.11.0110</w:t>
      </w:r>
    </w:p>
    <w:p w14:paraId="7E05AADD" w14:textId="77777777" w:rsidR="0005575A" w:rsidRPr="00FA47EE" w:rsidRDefault="0005575A" w:rsidP="0005575A">
      <w:pPr>
        <w:spacing w:after="240"/>
        <w:ind w:right="15"/>
        <w:jc w:val="both"/>
        <w:rPr>
          <w:rFonts w:ascii="Book Antiqua" w:eastAsiaTheme="minorHAnsi" w:hAnsi="Book Antiqua" w:cs="Tahoma"/>
          <w:b/>
          <w:sz w:val="28"/>
          <w:szCs w:val="28"/>
          <w:u w:val="single"/>
        </w:rPr>
      </w:pPr>
    </w:p>
    <w:p w14:paraId="3A78D300" w14:textId="77777777" w:rsidR="0005575A" w:rsidRPr="00FA47EE" w:rsidRDefault="0005575A" w:rsidP="0005575A">
      <w:pPr>
        <w:spacing w:after="240"/>
        <w:ind w:right="15"/>
        <w:jc w:val="both"/>
        <w:rPr>
          <w:rFonts w:ascii="Book Antiqua" w:hAnsi="Book Antiqua"/>
          <w:sz w:val="17"/>
          <w:szCs w:val="17"/>
        </w:rPr>
      </w:pPr>
    </w:p>
    <w:p w14:paraId="4843846F" w14:textId="77777777" w:rsidR="0005575A" w:rsidRPr="00FA47EE" w:rsidRDefault="0005575A" w:rsidP="0005575A">
      <w:pPr>
        <w:spacing w:after="240"/>
        <w:ind w:right="15"/>
        <w:jc w:val="both"/>
        <w:rPr>
          <w:rFonts w:ascii="Book Antiqua" w:hAnsi="Book Antiqua"/>
          <w:sz w:val="17"/>
          <w:szCs w:val="17"/>
        </w:rPr>
      </w:pPr>
    </w:p>
    <w:p w14:paraId="613C8391" w14:textId="77777777" w:rsidR="0005575A" w:rsidRPr="00FA47EE" w:rsidRDefault="0005575A" w:rsidP="0005575A">
      <w:pPr>
        <w:spacing w:after="240"/>
        <w:ind w:right="15"/>
        <w:jc w:val="both"/>
        <w:rPr>
          <w:rFonts w:ascii="Book Antiqua" w:hAnsi="Book Antiqua" w:cstheme="minorBidi"/>
          <w:sz w:val="17"/>
          <w:szCs w:val="17"/>
        </w:rPr>
      </w:pPr>
    </w:p>
    <w:p w14:paraId="69904B6F" w14:textId="77777777" w:rsidR="0005575A" w:rsidRPr="00FA47EE" w:rsidRDefault="0005575A" w:rsidP="0005575A">
      <w:pPr>
        <w:spacing w:after="240"/>
        <w:ind w:right="15"/>
        <w:jc w:val="both"/>
        <w:rPr>
          <w:rFonts w:ascii="Book Antiqua" w:eastAsiaTheme="minorHAnsi" w:hAnsi="Book Antiqua" w:cs="Tahoma"/>
          <w:b/>
          <w:sz w:val="28"/>
          <w:szCs w:val="28"/>
        </w:rPr>
      </w:pPr>
    </w:p>
    <w:p w14:paraId="5FAAC188" w14:textId="51F06A21" w:rsidR="0005575A" w:rsidRPr="00FA47EE" w:rsidRDefault="00CB7C69" w:rsidP="0005575A">
      <w:pPr>
        <w:pStyle w:val="Standard0"/>
        <w:spacing w:after="240"/>
        <w:ind w:firstLine="1701"/>
        <w:jc w:val="both"/>
        <w:rPr>
          <w:rStyle w:val="WW-Teletipo111111"/>
          <w:rFonts w:ascii="Book Antiqua" w:hAnsi="Book Antiqua" w:cs="Tahoma"/>
          <w:sz w:val="28"/>
          <w:szCs w:val="28"/>
        </w:rPr>
      </w:pPr>
      <w:r w:rsidRPr="00FA47EE">
        <w:rPr>
          <w:rFonts w:ascii="Book Antiqua" w:hAnsi="Book Antiqua"/>
          <w:b/>
          <w:bCs/>
          <w:sz w:val="28"/>
          <w:szCs w:val="28"/>
          <w:u w:val="single"/>
        </w:rPr>
        <w:t>MUNICIPIO DE CAMPINAPOLIS</w:t>
      </w:r>
      <w:r w:rsidR="0005575A" w:rsidRPr="00FA47EE">
        <w:rPr>
          <w:rFonts w:ascii="Book Antiqua" w:hAnsi="Book Antiqua" w:cs="Tahoma"/>
          <w:bCs/>
          <w:sz w:val="28"/>
          <w:szCs w:val="28"/>
        </w:rPr>
        <w:t>, já devidamente qualificada nos autos encimados, vem respeitosamente, à presença de Vossa Excelência, por intermédio de seu advogado</w:t>
      </w:r>
      <w:r w:rsidRPr="00FA47EE">
        <w:rPr>
          <w:rFonts w:ascii="Book Antiqua" w:hAnsi="Book Antiqua" w:cs="Tahoma"/>
          <w:bCs/>
          <w:sz w:val="28"/>
          <w:szCs w:val="28"/>
        </w:rPr>
        <w:t xml:space="preserve"> municipal</w:t>
      </w:r>
      <w:r w:rsidR="0005575A" w:rsidRPr="00FA47EE">
        <w:rPr>
          <w:rFonts w:ascii="Book Antiqua" w:hAnsi="Book Antiqua" w:cs="Tahoma"/>
          <w:bCs/>
          <w:sz w:val="28"/>
          <w:szCs w:val="28"/>
        </w:rPr>
        <w:t xml:space="preserve">, no prazo legal, apresentar </w:t>
      </w:r>
      <w:r w:rsidR="0005575A" w:rsidRPr="00FA47EE">
        <w:rPr>
          <w:rFonts w:ascii="Book Antiqua" w:hAnsi="Book Antiqua" w:cs="Tahoma"/>
          <w:b/>
          <w:i/>
          <w:iCs/>
          <w:sz w:val="28"/>
          <w:szCs w:val="28"/>
        </w:rPr>
        <w:t>CONTRARRAZÕES AO RECURSO DE APELAÇÃO</w:t>
      </w:r>
      <w:r w:rsidR="0005575A" w:rsidRPr="00FA47EE">
        <w:rPr>
          <w:rFonts w:ascii="Book Antiqua" w:hAnsi="Book Antiqua" w:cs="Tahoma"/>
          <w:bCs/>
          <w:sz w:val="28"/>
          <w:szCs w:val="28"/>
        </w:rPr>
        <w:t>, que seguem em anexo, requerendo que</w:t>
      </w:r>
      <w:r w:rsidRPr="00FA47EE">
        <w:rPr>
          <w:rFonts w:ascii="Book Antiqua" w:hAnsi="Book Antiqua" w:cs="Tahoma"/>
          <w:bCs/>
          <w:sz w:val="28"/>
          <w:szCs w:val="28"/>
        </w:rPr>
        <w:t>,</w:t>
      </w:r>
      <w:r w:rsidR="0005575A" w:rsidRPr="00FA47EE">
        <w:rPr>
          <w:rFonts w:ascii="Book Antiqua" w:hAnsi="Book Antiqua" w:cs="Tahoma"/>
          <w:bCs/>
          <w:sz w:val="28"/>
          <w:szCs w:val="28"/>
        </w:rPr>
        <w:t xml:space="preserve"> após a juntada aos autos</w:t>
      </w:r>
      <w:r w:rsidRPr="00FA47EE">
        <w:rPr>
          <w:rFonts w:ascii="Book Antiqua" w:hAnsi="Book Antiqua" w:cs="Tahoma"/>
          <w:bCs/>
          <w:sz w:val="28"/>
          <w:szCs w:val="28"/>
        </w:rPr>
        <w:t>,</w:t>
      </w:r>
      <w:r w:rsidR="0005575A" w:rsidRPr="00FA47EE">
        <w:rPr>
          <w:rFonts w:ascii="Book Antiqua" w:hAnsi="Book Antiqua" w:cs="Tahoma"/>
          <w:bCs/>
          <w:sz w:val="28"/>
          <w:szCs w:val="28"/>
        </w:rPr>
        <w:t xml:space="preserve"> sejam remetidos ao Egrégio Tribunal de Justiça</w:t>
      </w:r>
      <w:r w:rsidR="0005575A" w:rsidRPr="00FA47EE">
        <w:rPr>
          <w:rStyle w:val="WW-Teletipo111111"/>
          <w:rFonts w:ascii="Book Antiqua" w:hAnsi="Book Antiqua" w:cs="Tahoma"/>
          <w:bCs/>
          <w:sz w:val="28"/>
          <w:szCs w:val="28"/>
        </w:rPr>
        <w:t>.</w:t>
      </w:r>
    </w:p>
    <w:p w14:paraId="34CF60F0" w14:textId="77777777" w:rsidR="0005575A" w:rsidRPr="00FA47EE" w:rsidRDefault="0005575A" w:rsidP="0005575A">
      <w:pPr>
        <w:pStyle w:val="Standard0"/>
        <w:spacing w:after="240"/>
        <w:ind w:firstLine="1701"/>
        <w:jc w:val="both"/>
        <w:rPr>
          <w:rStyle w:val="WW-Teletipo111111"/>
          <w:rFonts w:ascii="Book Antiqua" w:hAnsi="Book Antiqua" w:cs="Tahoma"/>
          <w:sz w:val="28"/>
          <w:szCs w:val="28"/>
        </w:rPr>
      </w:pPr>
      <w:r w:rsidRPr="00FA47EE">
        <w:rPr>
          <w:rStyle w:val="WW-Teletipo111111"/>
          <w:rFonts w:ascii="Book Antiqua" w:hAnsi="Book Antiqua" w:cs="Tahoma"/>
          <w:sz w:val="28"/>
          <w:szCs w:val="28"/>
        </w:rPr>
        <w:t>Nesses termos, pede-se deferimento.</w:t>
      </w:r>
    </w:p>
    <w:p w14:paraId="12C6AB8F" w14:textId="0D1A472D" w:rsidR="0005575A" w:rsidRPr="00FA47EE" w:rsidRDefault="00CB7C69" w:rsidP="0005575A">
      <w:pPr>
        <w:pStyle w:val="Standard0"/>
        <w:spacing w:after="240"/>
        <w:ind w:firstLine="1701"/>
        <w:jc w:val="both"/>
        <w:rPr>
          <w:rFonts w:ascii="Book Antiqua" w:hAnsi="Book Antiqua" w:cs="Tahoma"/>
        </w:rPr>
      </w:pPr>
      <w:r w:rsidRPr="00FA47EE">
        <w:rPr>
          <w:rStyle w:val="WW-Teletipo111111"/>
          <w:rFonts w:ascii="Book Antiqua" w:hAnsi="Book Antiqua" w:cs="Tahoma"/>
          <w:sz w:val="28"/>
          <w:szCs w:val="28"/>
        </w:rPr>
        <w:t>Campinápolis</w:t>
      </w:r>
      <w:r w:rsidR="0005575A" w:rsidRPr="00FA47EE">
        <w:rPr>
          <w:rStyle w:val="WW-Teletipo111111"/>
          <w:rFonts w:ascii="Book Antiqua" w:hAnsi="Book Antiqua" w:cs="Tahoma"/>
          <w:sz w:val="28"/>
          <w:szCs w:val="28"/>
        </w:rPr>
        <w:t xml:space="preserve">/MT, </w:t>
      </w:r>
      <w:r w:rsidR="0005575A" w:rsidRPr="00FA47EE">
        <w:rPr>
          <w:rStyle w:val="WW-Teletipo111111"/>
          <w:rFonts w:ascii="Book Antiqua" w:hAnsi="Book Antiqua" w:cs="Tahoma"/>
          <w:i/>
          <w:iCs/>
          <w:sz w:val="28"/>
          <w:szCs w:val="28"/>
        </w:rPr>
        <w:t>data registrada no sistema</w:t>
      </w:r>
      <w:r w:rsidR="0005575A" w:rsidRPr="00FA47EE">
        <w:rPr>
          <w:rStyle w:val="WW-Teletipo111111"/>
          <w:rFonts w:ascii="Book Antiqua" w:hAnsi="Book Antiqua" w:cs="Tahoma"/>
          <w:sz w:val="28"/>
          <w:szCs w:val="28"/>
        </w:rPr>
        <w:t>.</w:t>
      </w:r>
    </w:p>
    <w:p w14:paraId="6AB054A7" w14:textId="77777777" w:rsidR="0005575A" w:rsidRPr="00FA47EE" w:rsidRDefault="0005575A" w:rsidP="0005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8"/>
        <w:jc w:val="center"/>
        <w:rPr>
          <w:rFonts w:ascii="Book Antiqua" w:hAnsi="Book Antiqua"/>
          <w:b/>
        </w:rPr>
      </w:pPr>
    </w:p>
    <w:p w14:paraId="5B0DBCCF" w14:textId="77777777" w:rsidR="00CB7C69" w:rsidRPr="00FA47EE" w:rsidRDefault="00CB7C69" w:rsidP="00CB7C69">
      <w:pPr>
        <w:jc w:val="center"/>
        <w:rPr>
          <w:rFonts w:ascii="Book Antiqua" w:hAnsi="Book Antiqua"/>
          <w:color w:val="000000"/>
        </w:rPr>
      </w:pPr>
      <w:r w:rsidRPr="00FA47EE">
        <w:rPr>
          <w:rStyle w:val="Forte"/>
          <w:rFonts w:ascii="Book Antiqua" w:hAnsi="Book Antiqua"/>
          <w:color w:val="000000"/>
        </w:rPr>
        <w:t>YANN DIEGGO SOUZA TIMÓTHEO DE ALMEIDA</w:t>
      </w:r>
    </w:p>
    <w:p w14:paraId="391144D0" w14:textId="77777777" w:rsidR="00CB7C69" w:rsidRPr="00FA47EE" w:rsidRDefault="00CB7C69" w:rsidP="00CB7C69">
      <w:pPr>
        <w:jc w:val="center"/>
        <w:rPr>
          <w:rFonts w:ascii="Book Antiqua" w:hAnsi="Book Antiqua"/>
          <w:color w:val="000000"/>
        </w:rPr>
      </w:pPr>
      <w:r w:rsidRPr="00FA47EE">
        <w:rPr>
          <w:rStyle w:val="Forte"/>
          <w:rFonts w:ascii="Book Antiqua" w:hAnsi="Book Antiqua"/>
          <w:color w:val="000000"/>
        </w:rPr>
        <w:t>Advogado do Município – Matrícula n. 3596</w:t>
      </w:r>
    </w:p>
    <w:p w14:paraId="6689C3D1" w14:textId="77777777" w:rsidR="00CB7C69" w:rsidRPr="00FA47EE" w:rsidRDefault="00CB7C69" w:rsidP="00CB7C69">
      <w:pPr>
        <w:jc w:val="center"/>
        <w:rPr>
          <w:rFonts w:ascii="Book Antiqua" w:hAnsi="Book Antiqua"/>
          <w:color w:val="000000"/>
        </w:rPr>
      </w:pPr>
      <w:r w:rsidRPr="00FA47EE">
        <w:rPr>
          <w:rFonts w:ascii="Book Antiqua" w:hAnsi="Book Antiqua"/>
          <w:color w:val="000000"/>
          <w:lang w:val="en-US"/>
        </w:rPr>
        <w:t>OAB/MT 12.025</w:t>
      </w:r>
    </w:p>
    <w:p w14:paraId="200C6142" w14:textId="77777777" w:rsidR="00CB7C69" w:rsidRPr="00FA47EE" w:rsidRDefault="00CB7C69" w:rsidP="0005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Book Antiqua" w:hAnsi="Book Antiqua" w:cs="Tahoma"/>
          <w:szCs w:val="28"/>
        </w:rPr>
      </w:pPr>
    </w:p>
    <w:p w14:paraId="7C878FFA" w14:textId="77777777" w:rsidR="00CB7C69" w:rsidRPr="00FA47EE" w:rsidRDefault="00CB7C69" w:rsidP="0005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Book Antiqua" w:hAnsi="Book Antiqua" w:cs="Tahoma"/>
          <w:szCs w:val="28"/>
        </w:rPr>
      </w:pPr>
    </w:p>
    <w:p w14:paraId="544F7A96" w14:textId="77777777" w:rsidR="0005575A" w:rsidRPr="00FA47EE" w:rsidRDefault="0005575A" w:rsidP="0005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Book Antiqua" w:hAnsi="Book Antiqua" w:cs="Tahoma"/>
          <w:szCs w:val="28"/>
        </w:rPr>
      </w:pPr>
    </w:p>
    <w:p w14:paraId="081E9E8B" w14:textId="77777777" w:rsidR="0005575A" w:rsidRPr="00FA47EE" w:rsidRDefault="0005575A" w:rsidP="0005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Book Antiqua" w:hAnsi="Book Antiqua" w:cs="Tahoma"/>
          <w:szCs w:val="28"/>
        </w:rPr>
      </w:pPr>
    </w:p>
    <w:p w14:paraId="19B4EA01" w14:textId="77777777" w:rsidR="0005575A" w:rsidRPr="00FA47EE" w:rsidRDefault="0005575A" w:rsidP="0005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Book Antiqua" w:hAnsi="Book Antiqua" w:cs="Tahoma"/>
          <w:szCs w:val="28"/>
        </w:rPr>
      </w:pPr>
    </w:p>
    <w:p w14:paraId="4C81E1FC" w14:textId="77777777" w:rsidR="0005575A" w:rsidRPr="00FA47EE" w:rsidRDefault="0005575A" w:rsidP="0005575A">
      <w:pPr>
        <w:spacing w:after="240"/>
        <w:jc w:val="center"/>
        <w:textAlignment w:val="top"/>
        <w:rPr>
          <w:rFonts w:ascii="Book Antiqua" w:hAnsi="Book Antiqua" w:cs="Tahoma"/>
          <w:b/>
          <w:bCs/>
          <w:sz w:val="32"/>
          <w:szCs w:val="32"/>
        </w:rPr>
      </w:pPr>
      <w:r w:rsidRPr="00FA47EE">
        <w:rPr>
          <w:rFonts w:ascii="Book Antiqua" w:hAnsi="Book Antiqua" w:cs="Tahoma"/>
          <w:b/>
          <w:bCs/>
          <w:sz w:val="32"/>
          <w:szCs w:val="32"/>
        </w:rPr>
        <w:lastRenderedPageBreak/>
        <w:t>EGRÉGIO TRIBUNAL DE JUSTIÇA DO ESTADO DE MATO GROSSO</w:t>
      </w:r>
    </w:p>
    <w:p w14:paraId="2DC74E2D" w14:textId="77777777" w:rsidR="0005575A" w:rsidRPr="00FA47EE" w:rsidRDefault="0005575A" w:rsidP="0005575A">
      <w:pPr>
        <w:spacing w:after="240"/>
        <w:jc w:val="center"/>
        <w:textAlignment w:val="top"/>
        <w:rPr>
          <w:rFonts w:ascii="Book Antiqua" w:hAnsi="Book Antiqua" w:cs="Tahoma"/>
          <w:b/>
          <w:sz w:val="32"/>
          <w:szCs w:val="32"/>
        </w:rPr>
      </w:pPr>
      <w:r w:rsidRPr="00FA47EE">
        <w:rPr>
          <w:rFonts w:ascii="Book Antiqua" w:hAnsi="Book Antiqua" w:cs="Tahoma"/>
          <w:b/>
          <w:sz w:val="32"/>
          <w:szCs w:val="32"/>
        </w:rPr>
        <w:t>CONTRARRAZÕES RECURSAIS</w:t>
      </w:r>
    </w:p>
    <w:p w14:paraId="520ECEB7" w14:textId="4B57D853" w:rsidR="0005575A" w:rsidRPr="00FA47EE" w:rsidRDefault="0005575A" w:rsidP="0005575A">
      <w:pPr>
        <w:jc w:val="both"/>
        <w:rPr>
          <w:rFonts w:ascii="Book Antiqua" w:hAnsi="Book Antiqua" w:cs="Tahoma"/>
          <w:sz w:val="26"/>
          <w:szCs w:val="26"/>
        </w:rPr>
      </w:pPr>
      <w:r w:rsidRPr="00FA47EE">
        <w:rPr>
          <w:rFonts w:ascii="Book Antiqua" w:hAnsi="Book Antiqua" w:cs="Tahoma"/>
          <w:b/>
          <w:bCs/>
          <w:sz w:val="26"/>
          <w:szCs w:val="26"/>
        </w:rPr>
        <w:t>Processo</w:t>
      </w:r>
      <w:r w:rsidRPr="00FA47EE">
        <w:rPr>
          <w:rFonts w:ascii="Book Antiqua" w:hAnsi="Book Antiqua" w:cs="Tahoma"/>
          <w:sz w:val="26"/>
          <w:szCs w:val="26"/>
        </w:rPr>
        <w:t>: </w:t>
      </w:r>
      <w:r w:rsidR="004213B6" w:rsidRPr="00FA47EE">
        <w:rPr>
          <w:rFonts w:ascii="Book Antiqua" w:hAnsi="Book Antiqua" w:cs="Tahoma"/>
          <w:sz w:val="26"/>
          <w:szCs w:val="26"/>
        </w:rPr>
        <w:t>0001900-45.2013.8.11.0110</w:t>
      </w:r>
    </w:p>
    <w:p w14:paraId="1D1D2F6E" w14:textId="72C68D6D" w:rsidR="0005575A" w:rsidRPr="00FA47EE" w:rsidRDefault="0005575A" w:rsidP="0005575A">
      <w:pPr>
        <w:jc w:val="both"/>
        <w:rPr>
          <w:rFonts w:ascii="Book Antiqua" w:hAnsi="Book Antiqua" w:cs="Tahoma"/>
          <w:sz w:val="26"/>
          <w:szCs w:val="26"/>
        </w:rPr>
      </w:pPr>
      <w:r w:rsidRPr="00FA47EE">
        <w:rPr>
          <w:rFonts w:ascii="Book Antiqua" w:hAnsi="Book Antiqua" w:cs="Tahoma"/>
          <w:b/>
          <w:bCs/>
          <w:sz w:val="26"/>
          <w:szCs w:val="26"/>
        </w:rPr>
        <w:t>Recorrente</w:t>
      </w:r>
      <w:r w:rsidRPr="00FA47EE">
        <w:rPr>
          <w:rFonts w:ascii="Book Antiqua" w:hAnsi="Book Antiqua" w:cs="Tahoma"/>
          <w:sz w:val="26"/>
          <w:szCs w:val="26"/>
        </w:rPr>
        <w:t xml:space="preserve">: </w:t>
      </w:r>
      <w:r w:rsidR="00CB7C69" w:rsidRPr="00FA47EE">
        <w:rPr>
          <w:rFonts w:ascii="Book Antiqua" w:hAnsi="Book Antiqua" w:cs="Tahoma"/>
          <w:sz w:val="26"/>
          <w:szCs w:val="26"/>
        </w:rPr>
        <w:t>CHIRLEY HILARIO DOS SANTOS MOTA</w:t>
      </w:r>
    </w:p>
    <w:p w14:paraId="03B1467D" w14:textId="15D14949" w:rsidR="0005575A" w:rsidRPr="00FA47EE" w:rsidRDefault="0005575A" w:rsidP="0005575A">
      <w:pPr>
        <w:jc w:val="both"/>
        <w:rPr>
          <w:rFonts w:ascii="Book Antiqua" w:hAnsi="Book Antiqua" w:cs="Tahoma"/>
          <w:sz w:val="26"/>
          <w:szCs w:val="26"/>
        </w:rPr>
      </w:pPr>
      <w:r w:rsidRPr="00FA47EE">
        <w:rPr>
          <w:rFonts w:ascii="Book Antiqua" w:hAnsi="Book Antiqua" w:cs="Tahoma"/>
          <w:b/>
          <w:bCs/>
          <w:sz w:val="26"/>
          <w:szCs w:val="26"/>
        </w:rPr>
        <w:t>Recorrido</w:t>
      </w:r>
      <w:r w:rsidRPr="00FA47EE">
        <w:rPr>
          <w:rFonts w:ascii="Book Antiqua" w:hAnsi="Book Antiqua" w:cs="Tahoma"/>
          <w:sz w:val="26"/>
          <w:szCs w:val="26"/>
        </w:rPr>
        <w:t xml:space="preserve">: </w:t>
      </w:r>
      <w:r w:rsidR="00CB7C69" w:rsidRPr="00FA47EE">
        <w:rPr>
          <w:rFonts w:ascii="Book Antiqua" w:hAnsi="Book Antiqua" w:cs="Tahoma"/>
          <w:sz w:val="26"/>
          <w:szCs w:val="26"/>
        </w:rPr>
        <w:t>MUNICIPIO DE CAMPINAPOLIS</w:t>
      </w:r>
    </w:p>
    <w:p w14:paraId="42E9CD60" w14:textId="77777777" w:rsidR="0005575A" w:rsidRPr="00FA47EE" w:rsidRDefault="0005575A" w:rsidP="0005575A">
      <w:pPr>
        <w:jc w:val="both"/>
        <w:textAlignment w:val="top"/>
        <w:rPr>
          <w:rFonts w:ascii="Book Antiqua" w:hAnsi="Book Antiqua"/>
        </w:rPr>
      </w:pPr>
    </w:p>
    <w:p w14:paraId="1E78BCE9" w14:textId="77777777" w:rsidR="0005575A" w:rsidRPr="00FA47EE" w:rsidRDefault="0005575A" w:rsidP="0005575A">
      <w:pPr>
        <w:jc w:val="both"/>
        <w:textAlignment w:val="top"/>
        <w:rPr>
          <w:rFonts w:ascii="Book Antiqua" w:hAnsi="Book Antiqua"/>
        </w:rPr>
      </w:pPr>
    </w:p>
    <w:p w14:paraId="18F3F2BD" w14:textId="77777777" w:rsidR="0005575A" w:rsidRPr="00FA47EE" w:rsidRDefault="0005575A" w:rsidP="0005575A">
      <w:pPr>
        <w:ind w:firstLine="708"/>
        <w:jc w:val="both"/>
        <w:textAlignment w:val="top"/>
        <w:rPr>
          <w:rFonts w:ascii="Book Antiqua" w:hAnsi="Book Antiqua" w:cs="Tahoma"/>
          <w:b/>
          <w:bCs/>
        </w:rPr>
      </w:pPr>
      <w:r w:rsidRPr="00FA47EE">
        <w:rPr>
          <w:rFonts w:ascii="Book Antiqua" w:hAnsi="Book Antiqua" w:cs="Tahoma"/>
          <w:b/>
          <w:bCs/>
        </w:rPr>
        <w:t>COLENDA CÂMARA</w:t>
      </w:r>
    </w:p>
    <w:p w14:paraId="61B40A0F" w14:textId="77777777" w:rsidR="0005575A" w:rsidRPr="00FA47EE" w:rsidRDefault="0005575A" w:rsidP="0005575A">
      <w:pPr>
        <w:ind w:left="708" w:firstLine="708"/>
        <w:jc w:val="both"/>
        <w:textAlignment w:val="top"/>
        <w:rPr>
          <w:rFonts w:ascii="Book Antiqua" w:hAnsi="Book Antiqua" w:cs="Tahoma"/>
          <w:b/>
          <w:bCs/>
        </w:rPr>
      </w:pPr>
      <w:r w:rsidRPr="00FA47EE">
        <w:rPr>
          <w:rFonts w:ascii="Book Antiqua" w:hAnsi="Book Antiqua" w:cs="Tahoma"/>
          <w:b/>
          <w:bCs/>
        </w:rPr>
        <w:t>ÍNCLITO(A) RELATOR(A)</w:t>
      </w:r>
    </w:p>
    <w:p w14:paraId="52F2D3A4" w14:textId="77777777" w:rsidR="0005575A" w:rsidRPr="00FA47EE" w:rsidRDefault="0005575A" w:rsidP="0005575A">
      <w:pPr>
        <w:spacing w:after="240"/>
        <w:ind w:left="1416" w:firstLine="708"/>
        <w:jc w:val="both"/>
        <w:textAlignment w:val="top"/>
        <w:rPr>
          <w:rFonts w:ascii="Book Antiqua" w:hAnsi="Book Antiqua" w:cs="Tahoma"/>
        </w:rPr>
      </w:pPr>
      <w:r w:rsidRPr="00FA47EE">
        <w:rPr>
          <w:rFonts w:ascii="Book Antiqua" w:hAnsi="Book Antiqua" w:cs="Tahoma"/>
          <w:b/>
          <w:bCs/>
        </w:rPr>
        <w:t>EMINENTES DESEMBARGADORES</w:t>
      </w:r>
    </w:p>
    <w:p w14:paraId="48AE0D86" w14:textId="77777777" w:rsidR="0005575A" w:rsidRPr="00FA47EE" w:rsidRDefault="0005575A" w:rsidP="0005575A">
      <w:pPr>
        <w:spacing w:after="240"/>
        <w:ind w:left="1416" w:firstLine="708"/>
        <w:jc w:val="both"/>
        <w:textAlignment w:val="top"/>
        <w:rPr>
          <w:rFonts w:ascii="Book Antiqua" w:hAnsi="Book Antiqua" w:cs="Tahoma"/>
        </w:rPr>
      </w:pPr>
    </w:p>
    <w:p w14:paraId="5849AA71" w14:textId="77777777" w:rsidR="0005575A" w:rsidRPr="00FA47EE" w:rsidRDefault="0005575A" w:rsidP="0005575A">
      <w:pPr>
        <w:spacing w:after="240"/>
        <w:jc w:val="both"/>
        <w:textAlignment w:val="top"/>
        <w:rPr>
          <w:rFonts w:ascii="Book Antiqua" w:hAnsi="Book Antiqua" w:cs="Tahoma"/>
          <w:b/>
          <w:sz w:val="28"/>
          <w:szCs w:val="26"/>
          <w:u w:val="single"/>
        </w:rPr>
      </w:pPr>
      <w:r w:rsidRPr="00FA47EE">
        <w:rPr>
          <w:rFonts w:ascii="Book Antiqua" w:hAnsi="Book Antiqua" w:cs="Tahoma"/>
          <w:b/>
          <w:sz w:val="28"/>
          <w:szCs w:val="26"/>
          <w:u w:val="single"/>
        </w:rPr>
        <w:t>I. DA SENTENÇA RECORRIDA</w:t>
      </w:r>
    </w:p>
    <w:p w14:paraId="1D1C85F2" w14:textId="1BE2BC42" w:rsidR="0005575A" w:rsidRPr="00FA47EE" w:rsidRDefault="0005575A" w:rsidP="0005575A">
      <w:pPr>
        <w:spacing w:after="240"/>
        <w:ind w:firstLine="1701"/>
        <w:jc w:val="both"/>
        <w:textAlignment w:val="top"/>
        <w:rPr>
          <w:rFonts w:ascii="Book Antiqua" w:hAnsi="Book Antiqua" w:cs="Tahoma"/>
          <w:bCs/>
        </w:rPr>
      </w:pPr>
      <w:r w:rsidRPr="00FA47EE">
        <w:rPr>
          <w:rFonts w:ascii="Book Antiqua" w:hAnsi="Book Antiqua" w:cs="Tahoma"/>
          <w:bCs/>
        </w:rPr>
        <w:t xml:space="preserve">Insurge-se o Apelante contra a r. sentença que </w:t>
      </w:r>
      <w:r w:rsidR="004213B6" w:rsidRPr="00FA47EE">
        <w:rPr>
          <w:rFonts w:ascii="Book Antiqua" w:hAnsi="Book Antiqua" w:cs="Tahoma"/>
          <w:b/>
          <w:bCs/>
          <w:u w:val="single"/>
        </w:rPr>
        <w:t>julgou extinto o processo, nos termos do art. 924, III do CPC, porque reconhecida a hipótese de “liquidação zero”, após a perícia contábil</w:t>
      </w:r>
      <w:r w:rsidRPr="00FA47EE">
        <w:rPr>
          <w:rFonts w:ascii="Book Antiqua" w:hAnsi="Book Antiqua" w:cs="Tahoma"/>
          <w:bCs/>
        </w:rPr>
        <w:t>.</w:t>
      </w:r>
    </w:p>
    <w:p w14:paraId="6A4B6709" w14:textId="77777777" w:rsidR="0005575A" w:rsidRPr="00FA47EE" w:rsidRDefault="0005575A" w:rsidP="0005575A">
      <w:pPr>
        <w:spacing w:after="240"/>
        <w:ind w:firstLine="1701"/>
        <w:jc w:val="both"/>
        <w:textAlignment w:val="top"/>
        <w:rPr>
          <w:rFonts w:ascii="Book Antiqua" w:hAnsi="Book Antiqua" w:cs="Tahoma"/>
          <w:bCs/>
          <w:sz w:val="26"/>
          <w:szCs w:val="26"/>
        </w:rPr>
      </w:pPr>
    </w:p>
    <w:p w14:paraId="69BCA11A" w14:textId="77777777" w:rsidR="0005575A" w:rsidRPr="00FA47EE" w:rsidRDefault="0005575A" w:rsidP="0005575A">
      <w:pPr>
        <w:spacing w:after="240"/>
        <w:jc w:val="both"/>
        <w:textAlignment w:val="top"/>
        <w:rPr>
          <w:rFonts w:ascii="Book Antiqua" w:hAnsi="Book Antiqua" w:cs="Tahoma"/>
          <w:b/>
          <w:sz w:val="28"/>
          <w:szCs w:val="26"/>
          <w:u w:val="single"/>
        </w:rPr>
      </w:pPr>
      <w:r w:rsidRPr="00FA47EE">
        <w:rPr>
          <w:rFonts w:ascii="Book Antiqua" w:hAnsi="Book Antiqua" w:cs="Tahoma"/>
          <w:b/>
          <w:sz w:val="28"/>
          <w:szCs w:val="26"/>
          <w:u w:val="single"/>
        </w:rPr>
        <w:t>II. PRELIMINARES</w:t>
      </w:r>
    </w:p>
    <w:p w14:paraId="047D64AD" w14:textId="7AB3575E" w:rsidR="0005575A" w:rsidRPr="00FA47EE" w:rsidRDefault="008B6DDA" w:rsidP="0005575A">
      <w:pPr>
        <w:spacing w:after="240"/>
        <w:jc w:val="both"/>
        <w:textAlignment w:val="top"/>
        <w:rPr>
          <w:rFonts w:ascii="Book Antiqua" w:hAnsi="Book Antiqua" w:cs="Tahoma"/>
          <w:b/>
          <w:sz w:val="26"/>
          <w:szCs w:val="26"/>
        </w:rPr>
      </w:pPr>
      <w:r w:rsidRPr="00FA47EE">
        <w:rPr>
          <w:rFonts w:ascii="Book Antiqua" w:hAnsi="Book Antiqua" w:cs="Tahoma"/>
          <w:b/>
          <w:sz w:val="26"/>
          <w:szCs w:val="26"/>
        </w:rPr>
        <w:t>II.I. ALEGAÇÃO DE NULIDADE DO LAUDO PERICIAL POR CERCEAMENTO DE DEFESA</w:t>
      </w:r>
    </w:p>
    <w:p w14:paraId="2FA790FE" w14:textId="77777777" w:rsidR="008B6DDA" w:rsidRPr="00FA47EE" w:rsidRDefault="008B6DDA" w:rsidP="008B6DDA">
      <w:pPr>
        <w:spacing w:after="240"/>
        <w:ind w:firstLine="1701"/>
        <w:jc w:val="both"/>
        <w:textAlignment w:val="top"/>
        <w:rPr>
          <w:rFonts w:ascii="Book Antiqua" w:hAnsi="Book Antiqua" w:cs="Tahoma"/>
          <w:bCs/>
        </w:rPr>
      </w:pPr>
      <w:r w:rsidRPr="00FA47EE">
        <w:rPr>
          <w:rFonts w:ascii="Book Antiqua" w:hAnsi="Book Antiqua" w:cs="Tahoma"/>
          <w:bCs/>
        </w:rPr>
        <w:t>Alega a parte apelante que “</w:t>
      </w:r>
      <w:r w:rsidRPr="00FA47EE">
        <w:rPr>
          <w:rFonts w:ascii="Book Antiqua" w:hAnsi="Book Antiqua" w:cs="Tahoma"/>
          <w:bCs/>
          <w:i/>
          <w:iCs/>
        </w:rPr>
        <w:t>o Laudo Pericial se apresenta impreciso, vez que a narrativa não se chega logicamente à conclusão, e sendo que o perito nomeado não respondeu os quesitos apresentados pelas partes, nos termos do artigo 472, IV, do CPP, resta configurada a hipótese de cerceamento de defesa que leva à cassação da sentença</w:t>
      </w:r>
      <w:r w:rsidRPr="00FA47EE">
        <w:rPr>
          <w:rFonts w:ascii="Book Antiqua" w:hAnsi="Book Antiqua" w:cs="Tahoma"/>
          <w:bCs/>
        </w:rPr>
        <w:t>”.</w:t>
      </w:r>
    </w:p>
    <w:p w14:paraId="1771E725" w14:textId="3091C244" w:rsidR="008B6DDA" w:rsidRPr="00FA47EE" w:rsidRDefault="008B6DDA" w:rsidP="008B6DDA">
      <w:pPr>
        <w:spacing w:after="240"/>
        <w:ind w:firstLine="1701"/>
        <w:jc w:val="both"/>
        <w:textAlignment w:val="top"/>
        <w:rPr>
          <w:rFonts w:ascii="Book Antiqua" w:hAnsi="Book Antiqua" w:cs="Tahoma"/>
          <w:bCs/>
        </w:rPr>
      </w:pPr>
      <w:r w:rsidRPr="00FA47EE">
        <w:rPr>
          <w:rFonts w:ascii="Book Antiqua" w:hAnsi="Book Antiqua" w:cs="Tahoma"/>
          <w:bCs/>
        </w:rPr>
        <w:t>Ocorre que, conforme própria resposta do perito nomeado, “</w:t>
      </w:r>
      <w:r w:rsidRPr="00FA47EE">
        <w:rPr>
          <w:rFonts w:ascii="Book Antiqua" w:hAnsi="Book Antiqua" w:cs="Tahoma"/>
          <w:b/>
          <w:u w:val="single"/>
        </w:rPr>
        <w:t>a resposta aos 41 (quarenta e um) quesitos apresentados pela parte autora não poderão alterar o resultado da perícia, seja porque alguns não são pertinentes, outros por violar o que foi determinado por lei e outros de natureza subjetiva e de natureza interpretativa, o que inviabiliza até mesmo a resposta do perito, pelo fato do expert não poder emitir juízo de valor, mas apenas se ater aos fatos objetivos que devem ser apurados no processo</w:t>
      </w:r>
      <w:r w:rsidRPr="00FA47EE">
        <w:rPr>
          <w:rFonts w:ascii="Book Antiqua" w:hAnsi="Book Antiqua" w:cs="Tahoma"/>
          <w:bCs/>
        </w:rPr>
        <w:t xml:space="preserve">”. Ou seja, </w:t>
      </w:r>
      <w:r w:rsidRPr="00FA47EE">
        <w:rPr>
          <w:rFonts w:ascii="Book Antiqua" w:hAnsi="Book Antiqua" w:cs="Tahoma"/>
          <w:b/>
          <w:u w:val="single"/>
        </w:rPr>
        <w:t xml:space="preserve">a parte apelante apresentou excessivos 41 (quarenta e um) quesitos ao </w:t>
      </w:r>
      <w:r w:rsidRPr="00FA47EE">
        <w:rPr>
          <w:rFonts w:ascii="Book Antiqua" w:hAnsi="Book Antiqua" w:cs="Tahoma"/>
          <w:b/>
          <w:i/>
          <w:iCs/>
          <w:u w:val="single"/>
        </w:rPr>
        <w:t>expert</w:t>
      </w:r>
      <w:r w:rsidRPr="00FA47EE">
        <w:rPr>
          <w:rFonts w:ascii="Book Antiqua" w:hAnsi="Book Antiqua" w:cs="Tahoma"/>
          <w:bCs/>
        </w:rPr>
        <w:t>, alguns totalmente subjetivos ou que em nada afetaram a sua conclusão, que foram respondidos.</w:t>
      </w:r>
    </w:p>
    <w:p w14:paraId="07BD42F2" w14:textId="77777777" w:rsidR="008B6DDA" w:rsidRPr="00FA47EE" w:rsidRDefault="008B6DDA" w:rsidP="008B6DDA">
      <w:pPr>
        <w:spacing w:after="240"/>
        <w:ind w:firstLine="1701"/>
        <w:jc w:val="both"/>
        <w:textAlignment w:val="top"/>
        <w:rPr>
          <w:rFonts w:ascii="Book Antiqua" w:hAnsi="Book Antiqua" w:cs="Tahoma"/>
          <w:bCs/>
        </w:rPr>
      </w:pPr>
      <w:r w:rsidRPr="00FA47EE">
        <w:rPr>
          <w:rFonts w:ascii="Book Antiqua" w:hAnsi="Book Antiqua" w:cs="Tahoma"/>
          <w:bCs/>
        </w:rPr>
        <w:lastRenderedPageBreak/>
        <w:t>Ora, os Tribunais Pátrios têm entendimento consolidado que “</w:t>
      </w:r>
      <w:r w:rsidRPr="00FA47EE">
        <w:rPr>
          <w:rFonts w:ascii="Book Antiqua" w:hAnsi="Book Antiqua" w:cs="Tahoma"/>
          <w:b/>
          <w:u w:val="single"/>
        </w:rPr>
        <w:t>o mero inconformismo da parte com o resultado do laudo pericial não é suficiente para gerar sua nulidade, tampouco a realização de nova perícia, vez que não houve qualquer irregularidade em seus termos</w:t>
      </w:r>
      <w:r w:rsidRPr="00FA47EE">
        <w:rPr>
          <w:rFonts w:ascii="Book Antiqua" w:hAnsi="Book Antiqua" w:cs="Tahoma"/>
          <w:bCs/>
        </w:rPr>
        <w:t>”</w:t>
      </w:r>
      <w:r w:rsidRPr="00FA47EE">
        <w:rPr>
          <w:rStyle w:val="Refdenotaderodap"/>
          <w:rFonts w:ascii="Book Antiqua" w:hAnsi="Book Antiqua" w:cs="Tahoma"/>
          <w:bCs/>
        </w:rPr>
        <w:footnoteReference w:id="1"/>
      </w:r>
      <w:r w:rsidRPr="00FA47EE">
        <w:rPr>
          <w:rFonts w:ascii="Book Antiqua" w:hAnsi="Book Antiqua" w:cs="Tahoma"/>
          <w:bCs/>
        </w:rPr>
        <w:t>.</w:t>
      </w:r>
    </w:p>
    <w:p w14:paraId="02BE02DA" w14:textId="77777777" w:rsidR="008B6DDA" w:rsidRPr="00FA47EE" w:rsidRDefault="008B6DDA" w:rsidP="008B6DDA">
      <w:pPr>
        <w:spacing w:after="240"/>
        <w:ind w:firstLine="1701"/>
        <w:jc w:val="both"/>
        <w:textAlignment w:val="top"/>
        <w:rPr>
          <w:rFonts w:ascii="Book Antiqua" w:hAnsi="Book Antiqua" w:cs="Tahoma"/>
          <w:bCs/>
        </w:rPr>
      </w:pPr>
      <w:r w:rsidRPr="00FA47EE">
        <w:rPr>
          <w:rFonts w:ascii="Book Antiqua" w:hAnsi="Book Antiqua" w:cs="Tahoma"/>
          <w:bCs/>
        </w:rPr>
        <w:t xml:space="preserve">Ademais, sabe-se que </w:t>
      </w:r>
      <w:r w:rsidRPr="00FA47EE">
        <w:rPr>
          <w:rFonts w:ascii="Book Antiqua" w:hAnsi="Book Antiqua" w:cs="Tahoma"/>
          <w:b/>
          <w:u w:val="single"/>
        </w:rPr>
        <w:t>a realização de nova perícia somente é possível quando a primeira apresentar omissão ou inexatidão dos resultados</w:t>
      </w:r>
      <w:r w:rsidRPr="00FA47EE">
        <w:rPr>
          <w:rFonts w:ascii="Book Antiqua" w:hAnsi="Book Antiqua" w:cs="Tahoma"/>
          <w:bCs/>
        </w:rPr>
        <w:t>, conforme artigo 480 e parágrafos do CPC:</w:t>
      </w:r>
    </w:p>
    <w:p w14:paraId="4E801CDE" w14:textId="77777777" w:rsidR="008B6DDA" w:rsidRPr="00FA47EE" w:rsidRDefault="008B6DDA" w:rsidP="008B6DDA">
      <w:pPr>
        <w:pBdr>
          <w:left w:val="single" w:sz="4" w:space="4" w:color="auto"/>
        </w:pBdr>
        <w:spacing w:after="240"/>
        <w:ind w:left="567"/>
        <w:jc w:val="both"/>
        <w:textAlignment w:val="top"/>
        <w:rPr>
          <w:rFonts w:ascii="Book Antiqua" w:hAnsi="Book Antiqua" w:cs="Tahoma"/>
          <w:bCs/>
          <w:sz w:val="22"/>
          <w:szCs w:val="22"/>
        </w:rPr>
      </w:pPr>
      <w:r w:rsidRPr="00FA47EE">
        <w:rPr>
          <w:rFonts w:ascii="Book Antiqua" w:hAnsi="Book Antiqua" w:cs="Tahoma"/>
          <w:bCs/>
          <w:sz w:val="22"/>
          <w:szCs w:val="22"/>
        </w:rPr>
        <w:t xml:space="preserve">Art. 480. O juiz determinará, de ofício ou a requerimento da parte, a </w:t>
      </w:r>
      <w:r w:rsidRPr="00FA47EE">
        <w:rPr>
          <w:rFonts w:ascii="Book Antiqua" w:hAnsi="Book Antiqua" w:cs="Tahoma"/>
          <w:b/>
          <w:sz w:val="22"/>
          <w:szCs w:val="22"/>
          <w:u w:val="single"/>
        </w:rPr>
        <w:t>realização de nova perícia quando a matéria não estiver suficientemente esclarecida</w:t>
      </w:r>
      <w:r w:rsidRPr="00FA47EE">
        <w:rPr>
          <w:rFonts w:ascii="Book Antiqua" w:hAnsi="Book Antiqua" w:cs="Tahoma"/>
          <w:bCs/>
          <w:sz w:val="22"/>
          <w:szCs w:val="22"/>
        </w:rPr>
        <w:t>.</w:t>
      </w:r>
    </w:p>
    <w:p w14:paraId="23E048EB" w14:textId="77777777" w:rsidR="008B6DDA" w:rsidRPr="00FA47EE" w:rsidRDefault="008B6DDA" w:rsidP="008B6DDA">
      <w:pPr>
        <w:pBdr>
          <w:left w:val="single" w:sz="4" w:space="4" w:color="auto"/>
        </w:pBdr>
        <w:ind w:left="567"/>
        <w:jc w:val="both"/>
        <w:textAlignment w:val="top"/>
        <w:rPr>
          <w:rFonts w:ascii="Book Antiqua" w:hAnsi="Book Antiqua" w:cs="Tahoma"/>
          <w:bCs/>
          <w:sz w:val="22"/>
          <w:szCs w:val="22"/>
        </w:rPr>
      </w:pPr>
      <w:bookmarkStart w:id="0" w:name="art480§1"/>
      <w:bookmarkEnd w:id="0"/>
      <w:r w:rsidRPr="00FA47EE">
        <w:rPr>
          <w:rFonts w:ascii="Book Antiqua" w:hAnsi="Book Antiqua" w:cs="Tahoma"/>
          <w:bCs/>
          <w:sz w:val="22"/>
          <w:szCs w:val="22"/>
        </w:rPr>
        <w:t>§ 1º A segunda perícia tem por objeto os mesmos fatos sobre os quais recaiu a primeira e destina-se a corrigir eventual omissão ou inexatidão dos resultados a que esta conduziu.</w:t>
      </w:r>
    </w:p>
    <w:p w14:paraId="6E5A28CC" w14:textId="77777777" w:rsidR="008B6DDA" w:rsidRPr="00FA47EE" w:rsidRDefault="008B6DDA" w:rsidP="008B6DDA">
      <w:pPr>
        <w:pBdr>
          <w:left w:val="single" w:sz="4" w:space="4" w:color="auto"/>
        </w:pBdr>
        <w:ind w:left="567"/>
        <w:jc w:val="both"/>
        <w:textAlignment w:val="top"/>
        <w:rPr>
          <w:rFonts w:ascii="Book Antiqua" w:hAnsi="Book Antiqua" w:cs="Tahoma"/>
          <w:bCs/>
          <w:sz w:val="22"/>
          <w:szCs w:val="22"/>
        </w:rPr>
      </w:pPr>
      <w:bookmarkStart w:id="1" w:name="art480§2"/>
      <w:bookmarkEnd w:id="1"/>
      <w:r w:rsidRPr="00FA47EE">
        <w:rPr>
          <w:rFonts w:ascii="Book Antiqua" w:hAnsi="Book Antiqua" w:cs="Tahoma"/>
          <w:bCs/>
          <w:sz w:val="22"/>
          <w:szCs w:val="22"/>
        </w:rPr>
        <w:t>§ 2º A segunda perícia rege-se pelas disposições estabelecidas para a primeira.</w:t>
      </w:r>
    </w:p>
    <w:p w14:paraId="13DC1A9D" w14:textId="77777777" w:rsidR="008B6DDA" w:rsidRPr="00FA47EE" w:rsidRDefault="008B6DDA" w:rsidP="008B6DDA">
      <w:pPr>
        <w:pBdr>
          <w:left w:val="single" w:sz="4" w:space="4" w:color="auto"/>
        </w:pBdr>
        <w:spacing w:after="240"/>
        <w:ind w:left="567"/>
        <w:jc w:val="both"/>
        <w:textAlignment w:val="top"/>
        <w:rPr>
          <w:rFonts w:ascii="Book Antiqua" w:hAnsi="Book Antiqua" w:cs="Tahoma"/>
          <w:bCs/>
          <w:sz w:val="22"/>
          <w:szCs w:val="22"/>
        </w:rPr>
      </w:pPr>
      <w:bookmarkStart w:id="2" w:name="art480§3"/>
      <w:bookmarkEnd w:id="2"/>
      <w:r w:rsidRPr="00FA47EE">
        <w:rPr>
          <w:rFonts w:ascii="Book Antiqua" w:hAnsi="Book Antiqua" w:cs="Tahoma"/>
          <w:bCs/>
          <w:sz w:val="22"/>
          <w:szCs w:val="22"/>
        </w:rPr>
        <w:t>§ 3º A segunda perícia não substitui a primeira, cabendo ao juiz apreciar o valor de uma e de outra.</w:t>
      </w:r>
    </w:p>
    <w:p w14:paraId="7DF5C04A" w14:textId="77777777" w:rsidR="008B6DDA" w:rsidRPr="00FA47EE" w:rsidRDefault="008B6DDA" w:rsidP="008B6DDA">
      <w:pPr>
        <w:spacing w:after="240"/>
        <w:ind w:firstLine="1701"/>
        <w:jc w:val="both"/>
        <w:textAlignment w:val="top"/>
        <w:rPr>
          <w:rFonts w:ascii="Book Antiqua" w:hAnsi="Book Antiqua" w:cs="Tahoma"/>
          <w:bCs/>
        </w:rPr>
      </w:pPr>
      <w:r w:rsidRPr="00FA47EE">
        <w:rPr>
          <w:rFonts w:ascii="Book Antiqua" w:hAnsi="Book Antiqua" w:cs="Tahoma"/>
          <w:bCs/>
        </w:rPr>
        <w:t xml:space="preserve">Da análise do laudo pericial produzido nos autos, sob o crivo do contraditório, verifica-se que </w:t>
      </w:r>
      <w:r w:rsidRPr="00FA47EE">
        <w:rPr>
          <w:rFonts w:ascii="Book Antiqua" w:hAnsi="Book Antiqua" w:cs="Tahoma"/>
          <w:b/>
          <w:u w:val="single"/>
        </w:rPr>
        <w:t>não há qualquer omissão ou inexatidão apta a ensejar a realização de nova perícia ou decretar a nulidade da já realizada</w:t>
      </w:r>
      <w:r w:rsidRPr="00FA47EE">
        <w:rPr>
          <w:rFonts w:ascii="Book Antiqua" w:hAnsi="Book Antiqua" w:cs="Tahoma"/>
          <w:bCs/>
        </w:rPr>
        <w:t xml:space="preserve">, porque </w:t>
      </w:r>
      <w:r w:rsidRPr="00FA47EE">
        <w:rPr>
          <w:rFonts w:ascii="Book Antiqua" w:hAnsi="Book Antiqua" w:cs="Tahoma"/>
          <w:b/>
          <w:u w:val="single"/>
        </w:rPr>
        <w:t>houve a realização da conversão da moeda para URV e resposta conclusiva a todos os quesitos apresentados</w:t>
      </w:r>
      <w:r w:rsidRPr="00FA47EE">
        <w:rPr>
          <w:rFonts w:ascii="Book Antiqua" w:hAnsi="Book Antiqua" w:cs="Tahoma"/>
          <w:bCs/>
        </w:rPr>
        <w:t>, o que é suficiente para o deslinde da demanda.</w:t>
      </w:r>
    </w:p>
    <w:p w14:paraId="57DECD1E" w14:textId="71D99AC3" w:rsidR="008B6DDA" w:rsidRPr="00FA47EE" w:rsidRDefault="008B6DDA" w:rsidP="008B6DDA">
      <w:pPr>
        <w:spacing w:after="240"/>
        <w:ind w:firstLine="1701"/>
        <w:jc w:val="both"/>
        <w:textAlignment w:val="top"/>
        <w:rPr>
          <w:rFonts w:ascii="Book Antiqua" w:hAnsi="Book Antiqua" w:cs="Tahoma"/>
          <w:bCs/>
        </w:rPr>
      </w:pPr>
      <w:r w:rsidRPr="00FA47EE">
        <w:rPr>
          <w:rFonts w:ascii="Book Antiqua" w:hAnsi="Book Antiqua" w:cs="Tahoma"/>
          <w:bCs/>
        </w:rPr>
        <w:t>O que requer a parte apelante, é que a conclusão da perícia judicial seja a mesma juntada por ela nos autos, referente a outros processos, sendo que, em casos como tais, “</w:t>
      </w:r>
      <w:r w:rsidRPr="00FA47EE">
        <w:rPr>
          <w:rFonts w:ascii="Book Antiqua" w:hAnsi="Book Antiqua" w:cs="Tahoma"/>
          <w:b/>
          <w:u w:val="single"/>
        </w:rPr>
        <w:t>no conflito entre laudo pericial apresentado pela parte e laudo pericial judicial, deve prevalecer o último, em atenção aos princípios da ampla defesa e do contraditório e distanciamento dos interesses das partes</w:t>
      </w:r>
      <w:r w:rsidRPr="00FA47EE">
        <w:rPr>
          <w:rFonts w:ascii="Book Antiqua" w:hAnsi="Book Antiqua" w:cs="Tahoma"/>
          <w:bCs/>
        </w:rPr>
        <w:t>”</w:t>
      </w:r>
      <w:r w:rsidRPr="00FA47EE">
        <w:rPr>
          <w:rStyle w:val="Refdenotaderodap"/>
          <w:rFonts w:ascii="Book Antiqua" w:hAnsi="Book Antiqua" w:cs="Tahoma"/>
          <w:bCs/>
        </w:rPr>
        <w:footnoteReference w:id="2"/>
      </w:r>
      <w:r w:rsidRPr="00FA47EE">
        <w:rPr>
          <w:rFonts w:ascii="Book Antiqua" w:hAnsi="Book Antiqua" w:cs="Tahoma"/>
          <w:bCs/>
        </w:rPr>
        <w:t xml:space="preserve">. </w:t>
      </w:r>
      <w:r w:rsidR="00063DE7" w:rsidRPr="00FA47EE">
        <w:rPr>
          <w:rFonts w:ascii="Book Antiqua" w:hAnsi="Book Antiqua" w:cs="Tahoma"/>
          <w:bCs/>
        </w:rPr>
        <w:t>Neste sentido:</w:t>
      </w:r>
    </w:p>
    <w:p w14:paraId="2E0B1AE2" w14:textId="0A7DB17F" w:rsidR="00063DE7" w:rsidRPr="00FA47EE" w:rsidRDefault="00063DE7" w:rsidP="00063DE7">
      <w:pPr>
        <w:pBdr>
          <w:left w:val="single" w:sz="4" w:space="4" w:color="auto"/>
        </w:pBdr>
        <w:spacing w:after="240"/>
        <w:ind w:left="567"/>
        <w:jc w:val="both"/>
        <w:textAlignment w:val="top"/>
        <w:rPr>
          <w:rFonts w:ascii="Book Antiqua" w:hAnsi="Book Antiqua" w:cs="Tahoma"/>
          <w:bCs/>
          <w:sz w:val="22"/>
          <w:szCs w:val="22"/>
        </w:rPr>
      </w:pPr>
      <w:proofErr w:type="gramStart"/>
      <w:r w:rsidRPr="00FA47EE">
        <w:rPr>
          <w:rFonts w:ascii="Book Antiqua" w:hAnsi="Book Antiqua" w:cs="Tahoma"/>
          <w:bCs/>
          <w:sz w:val="22"/>
          <w:szCs w:val="22"/>
          <w:highlight w:val="yellow"/>
        </w:rPr>
        <w:t>“</w:t>
      </w:r>
      <w:r w:rsidRPr="00FA47EE">
        <w:rPr>
          <w:rFonts w:ascii="Book Antiqua" w:hAnsi="Book Antiqua" w:cs="Tahoma"/>
          <w:b/>
          <w:sz w:val="22"/>
          <w:szCs w:val="22"/>
          <w:highlight w:val="yellow"/>
          <w:u w:val="single"/>
        </w:rPr>
        <w:t>O simples inconformismo da parte com as conclusões do laudo não autorizam</w:t>
      </w:r>
      <w:proofErr w:type="gramEnd"/>
      <w:r w:rsidRPr="00FA47EE">
        <w:rPr>
          <w:rFonts w:ascii="Book Antiqua" w:hAnsi="Book Antiqua" w:cs="Tahoma"/>
          <w:b/>
          <w:sz w:val="22"/>
          <w:szCs w:val="22"/>
          <w:highlight w:val="yellow"/>
          <w:u w:val="single"/>
        </w:rPr>
        <w:t xml:space="preserve"> a realização de novo exame pericial, nem mesmo caracteriza o cerceamento de defesa</w:t>
      </w:r>
      <w:r w:rsidRPr="00FA47EE">
        <w:rPr>
          <w:rFonts w:ascii="Book Antiqua" w:hAnsi="Book Antiqua" w:cs="Tahoma"/>
          <w:bCs/>
          <w:sz w:val="22"/>
          <w:szCs w:val="22"/>
          <w:highlight w:val="yellow"/>
        </w:rPr>
        <w:t>.”</w:t>
      </w:r>
      <w:r w:rsidRPr="00FA47EE">
        <w:rPr>
          <w:rFonts w:ascii="Book Antiqua" w:hAnsi="Book Antiqua" w:cs="Tahoma"/>
          <w:bCs/>
          <w:sz w:val="22"/>
          <w:szCs w:val="22"/>
        </w:rPr>
        <w:t xml:space="preserve"> (TJ-DF </w:t>
      </w:r>
      <w:r w:rsidR="00382F9A" w:rsidRPr="00FA47EE">
        <w:rPr>
          <w:rFonts w:ascii="Book Antiqua" w:hAnsi="Book Antiqua" w:cs="Tahoma"/>
          <w:bCs/>
          <w:sz w:val="22"/>
          <w:szCs w:val="22"/>
        </w:rPr>
        <w:t xml:space="preserve">– N.U. </w:t>
      </w:r>
      <w:r w:rsidRPr="00FA47EE">
        <w:rPr>
          <w:rFonts w:ascii="Book Antiqua" w:hAnsi="Book Antiqua" w:cs="Tahoma"/>
          <w:bCs/>
          <w:sz w:val="22"/>
          <w:szCs w:val="22"/>
        </w:rPr>
        <w:t>0033619-79.2015.8.07.0015, Relator: SIMONE LUCINDO, Data de Julgamento: 22/11/2017, 1ª Turma Cível, Data de Publicação: Publicado no DJE: 04/12/2017)</w:t>
      </w:r>
    </w:p>
    <w:p w14:paraId="704358BE" w14:textId="77777777" w:rsidR="00A55745" w:rsidRPr="00FA47EE" w:rsidRDefault="008B6DDA" w:rsidP="00A55745">
      <w:pPr>
        <w:spacing w:after="240"/>
        <w:ind w:firstLine="1701"/>
        <w:jc w:val="both"/>
        <w:textAlignment w:val="top"/>
        <w:rPr>
          <w:rFonts w:ascii="Book Antiqua" w:hAnsi="Book Antiqua" w:cs="Tahoma"/>
          <w:bCs/>
        </w:rPr>
      </w:pPr>
      <w:r w:rsidRPr="00FA47EE">
        <w:rPr>
          <w:rFonts w:ascii="Book Antiqua" w:hAnsi="Book Antiqua" w:cs="Tahoma"/>
          <w:bCs/>
        </w:rPr>
        <w:t>Sendo assim, por ausência de cerceamento de defesa, não há que se falar em nulidade do laudo pericial judicial realizado nos autos.</w:t>
      </w:r>
    </w:p>
    <w:p w14:paraId="36C3AE9A" w14:textId="77777777" w:rsidR="00063DE7" w:rsidRPr="00FA47EE" w:rsidRDefault="00063DE7" w:rsidP="00A55745">
      <w:pPr>
        <w:spacing w:after="240"/>
        <w:ind w:firstLine="1701"/>
        <w:jc w:val="both"/>
        <w:textAlignment w:val="top"/>
        <w:rPr>
          <w:rFonts w:ascii="Book Antiqua" w:hAnsi="Book Antiqua" w:cs="Tahoma"/>
          <w:bCs/>
        </w:rPr>
      </w:pPr>
    </w:p>
    <w:p w14:paraId="35D0E291" w14:textId="62B058CC" w:rsidR="008B6DDA" w:rsidRPr="00FA47EE" w:rsidRDefault="008B6DDA" w:rsidP="00A55745">
      <w:pPr>
        <w:spacing w:after="240"/>
        <w:jc w:val="both"/>
        <w:textAlignment w:val="top"/>
        <w:rPr>
          <w:rFonts w:ascii="Book Antiqua" w:hAnsi="Book Antiqua" w:cs="Tahoma"/>
          <w:bCs/>
        </w:rPr>
      </w:pPr>
      <w:r w:rsidRPr="00FA47EE">
        <w:rPr>
          <w:rFonts w:ascii="Book Antiqua" w:hAnsi="Book Antiqua" w:cs="Tahoma"/>
          <w:b/>
          <w:sz w:val="26"/>
          <w:szCs w:val="26"/>
        </w:rPr>
        <w:lastRenderedPageBreak/>
        <w:t>II.I</w:t>
      </w:r>
      <w:r w:rsidR="00A55745" w:rsidRPr="00FA47EE">
        <w:rPr>
          <w:rFonts w:ascii="Book Antiqua" w:hAnsi="Book Antiqua" w:cs="Tahoma"/>
          <w:b/>
          <w:sz w:val="26"/>
          <w:szCs w:val="26"/>
        </w:rPr>
        <w:t>I</w:t>
      </w:r>
      <w:r w:rsidRPr="00FA47EE">
        <w:rPr>
          <w:rFonts w:ascii="Book Antiqua" w:hAnsi="Book Antiqua" w:cs="Tahoma"/>
          <w:b/>
          <w:sz w:val="26"/>
          <w:szCs w:val="26"/>
        </w:rPr>
        <w:t xml:space="preserve">. ALEGAÇÃO DE NULIDADE DO LAUDO PERICIAL </w:t>
      </w:r>
      <w:r w:rsidRPr="00FA47EE">
        <w:rPr>
          <w:rFonts w:ascii="Book Antiqua" w:hAnsi="Book Antiqua" w:cs="Tahoma"/>
          <w:b/>
          <w:bCs/>
          <w:sz w:val="26"/>
          <w:szCs w:val="26"/>
        </w:rPr>
        <w:t>POR FALTA DE CONHECIMENTO TÉCNICO OU CIENTÍFICO DO PERITO NOMEADO</w:t>
      </w:r>
    </w:p>
    <w:p w14:paraId="196FEA04" w14:textId="5D760574" w:rsidR="008B6DDA" w:rsidRPr="00FA47EE" w:rsidRDefault="008B6DDA" w:rsidP="008B6DDA">
      <w:pPr>
        <w:spacing w:after="240"/>
        <w:ind w:firstLine="1701"/>
        <w:jc w:val="both"/>
        <w:textAlignment w:val="top"/>
        <w:rPr>
          <w:rFonts w:ascii="Book Antiqua" w:hAnsi="Book Antiqua" w:cs="Tahoma"/>
          <w:bCs/>
        </w:rPr>
      </w:pPr>
      <w:r w:rsidRPr="00FA47EE">
        <w:rPr>
          <w:rFonts w:ascii="Book Antiqua" w:hAnsi="Book Antiqua" w:cs="Tahoma"/>
          <w:bCs/>
        </w:rPr>
        <w:t>Conforme entendimento consolidado, “</w:t>
      </w:r>
      <w:r w:rsidRPr="00FA47EE">
        <w:rPr>
          <w:rFonts w:ascii="Book Antiqua" w:hAnsi="Book Antiqua" w:cs="Tahoma"/>
          <w:b/>
          <w:u w:val="single"/>
        </w:rPr>
        <w:t xml:space="preserve">o laudo pericial, elaborado por profissional da confiança do juízo, tem presunção de veracidade </w:t>
      </w:r>
      <w:r w:rsidRPr="00FA47EE">
        <w:rPr>
          <w:rFonts w:ascii="Book Antiqua" w:hAnsi="Book Antiqua" w:cs="Tahoma"/>
          <w:b/>
          <w:i/>
          <w:iCs/>
          <w:u w:val="single"/>
        </w:rPr>
        <w:t>juris tantum</w:t>
      </w:r>
      <w:r w:rsidRPr="00FA47EE">
        <w:rPr>
          <w:rFonts w:ascii="Book Antiqua" w:hAnsi="Book Antiqua" w:cs="Tahoma"/>
          <w:b/>
          <w:u w:val="single"/>
        </w:rPr>
        <w:t>, necessitando de prova robusta em contrário para a sua desconsideração</w:t>
      </w:r>
      <w:r w:rsidRPr="00FA47EE">
        <w:rPr>
          <w:rFonts w:ascii="Book Antiqua" w:hAnsi="Book Antiqua" w:cs="Tahoma"/>
          <w:bCs/>
        </w:rPr>
        <w:t>”</w:t>
      </w:r>
      <w:r w:rsidRPr="00FA47EE">
        <w:rPr>
          <w:rStyle w:val="Refdenotaderodap"/>
          <w:rFonts w:ascii="Book Antiqua" w:hAnsi="Book Antiqua" w:cs="Tahoma"/>
          <w:bCs/>
        </w:rPr>
        <w:footnoteReference w:id="3"/>
      </w:r>
      <w:r w:rsidRPr="00FA47EE">
        <w:rPr>
          <w:rFonts w:ascii="Book Antiqua" w:hAnsi="Book Antiqua" w:cs="Tahoma"/>
          <w:bCs/>
        </w:rPr>
        <w:t>, o que não ocorreu nos autos.</w:t>
      </w:r>
    </w:p>
    <w:p w14:paraId="239FD3B6" w14:textId="7B249D39" w:rsidR="008B6DDA" w:rsidRPr="00FA47EE" w:rsidRDefault="008B6DDA" w:rsidP="008B6DDA">
      <w:pPr>
        <w:spacing w:after="240"/>
        <w:ind w:firstLine="1701"/>
        <w:jc w:val="both"/>
        <w:textAlignment w:val="top"/>
        <w:rPr>
          <w:rFonts w:ascii="Book Antiqua" w:hAnsi="Book Antiqua" w:cs="Tahoma"/>
          <w:bCs/>
        </w:rPr>
      </w:pPr>
      <w:r w:rsidRPr="00FA47EE">
        <w:rPr>
          <w:rFonts w:ascii="Book Antiqua" w:hAnsi="Book Antiqua" w:cs="Tahoma"/>
          <w:bCs/>
        </w:rPr>
        <w:t>Insurge a parte apelante contra o laudo pericial judicial realizado nos autos em razão de sua conclusão diversa da realizada por ela, extrajudicialmente.</w:t>
      </w:r>
    </w:p>
    <w:p w14:paraId="3B88CEDA" w14:textId="77777777" w:rsidR="008B6DDA" w:rsidRPr="00FA47EE" w:rsidRDefault="008B6DDA" w:rsidP="008B6DDA">
      <w:pPr>
        <w:spacing w:after="240"/>
        <w:ind w:firstLine="1701"/>
        <w:jc w:val="both"/>
        <w:textAlignment w:val="top"/>
        <w:rPr>
          <w:rFonts w:ascii="Book Antiqua" w:hAnsi="Book Antiqua" w:cs="Tahoma"/>
          <w:bCs/>
        </w:rPr>
      </w:pPr>
      <w:r w:rsidRPr="00FA47EE">
        <w:rPr>
          <w:rFonts w:ascii="Book Antiqua" w:hAnsi="Book Antiqua" w:cs="Tahoma"/>
          <w:bCs/>
        </w:rPr>
        <w:t xml:space="preserve">Nos termos do anteriormente alegado, </w:t>
      </w:r>
      <w:r w:rsidRPr="00FA47EE">
        <w:rPr>
          <w:rFonts w:ascii="Book Antiqua" w:hAnsi="Book Antiqua" w:cs="Tahoma"/>
          <w:b/>
          <w:u w:val="single"/>
        </w:rPr>
        <w:t>o mero inconformismo da parte com o resultado do laudo pericial não é suficiente para a realização de nova perícia</w:t>
      </w:r>
      <w:r w:rsidRPr="00FA47EE">
        <w:rPr>
          <w:rFonts w:ascii="Book Antiqua" w:hAnsi="Book Antiqua" w:cs="Tahoma"/>
          <w:bCs/>
        </w:rPr>
        <w:t>, vez que não houve qualquer irregularidade em seus termos, como pretende a recorrente. Neste sentido:</w:t>
      </w:r>
    </w:p>
    <w:p w14:paraId="1683E83E" w14:textId="77777777" w:rsidR="008B6DDA" w:rsidRPr="00FA47EE" w:rsidRDefault="008B6DDA" w:rsidP="008B6DDA">
      <w:pPr>
        <w:pBdr>
          <w:left w:val="single" w:sz="4" w:space="4" w:color="auto"/>
        </w:pBdr>
        <w:spacing w:after="240"/>
        <w:ind w:left="567"/>
        <w:jc w:val="both"/>
        <w:textAlignment w:val="top"/>
        <w:rPr>
          <w:rFonts w:ascii="Book Antiqua" w:hAnsi="Book Antiqua" w:cs="Tahoma"/>
          <w:bCs/>
          <w:sz w:val="22"/>
          <w:szCs w:val="22"/>
        </w:rPr>
      </w:pPr>
      <w:r w:rsidRPr="00FA47EE">
        <w:rPr>
          <w:rFonts w:ascii="Book Antiqua" w:hAnsi="Book Antiqua" w:cs="Tahoma"/>
          <w:bCs/>
          <w:sz w:val="22"/>
          <w:szCs w:val="22"/>
        </w:rPr>
        <w:t>“</w:t>
      </w:r>
      <w:r w:rsidRPr="00FA47EE">
        <w:rPr>
          <w:rFonts w:ascii="Book Antiqua" w:hAnsi="Book Antiqua" w:cs="Tahoma"/>
          <w:b/>
          <w:sz w:val="22"/>
          <w:szCs w:val="22"/>
          <w:u w:val="single"/>
        </w:rPr>
        <w:t xml:space="preserve">Não há falar-se em imprestabilidade do laudo pericial quando o inconformismo </w:t>
      </w:r>
      <w:proofErr w:type="gramStart"/>
      <w:r w:rsidRPr="00FA47EE">
        <w:rPr>
          <w:rFonts w:ascii="Book Antiqua" w:hAnsi="Book Antiqua" w:cs="Tahoma"/>
          <w:b/>
          <w:sz w:val="22"/>
          <w:szCs w:val="22"/>
          <w:u w:val="single"/>
        </w:rPr>
        <w:t>revelar-se</w:t>
      </w:r>
      <w:proofErr w:type="gramEnd"/>
      <w:r w:rsidRPr="00FA47EE">
        <w:rPr>
          <w:rFonts w:ascii="Book Antiqua" w:hAnsi="Book Antiqua" w:cs="Tahoma"/>
          <w:b/>
          <w:sz w:val="22"/>
          <w:szCs w:val="22"/>
          <w:u w:val="single"/>
        </w:rPr>
        <w:t xml:space="preserve"> mera discordância da parte com o resultado, mostrando-se válida a prova, para todos os seus fins</w:t>
      </w:r>
      <w:r w:rsidRPr="00FA47EE">
        <w:rPr>
          <w:rFonts w:ascii="Book Antiqua" w:hAnsi="Book Antiqua" w:cs="Tahoma"/>
          <w:bCs/>
          <w:sz w:val="22"/>
          <w:szCs w:val="22"/>
        </w:rPr>
        <w:t xml:space="preserve">.” (TJMG - Apelação Cível 1.0000.20.449567-5/001, Relator (a): Des.(a) Márcio </w:t>
      </w:r>
      <w:proofErr w:type="spellStart"/>
      <w:r w:rsidRPr="00FA47EE">
        <w:rPr>
          <w:rFonts w:ascii="Book Antiqua" w:hAnsi="Book Antiqua" w:cs="Tahoma"/>
          <w:bCs/>
          <w:sz w:val="22"/>
          <w:szCs w:val="22"/>
        </w:rPr>
        <w:t>Idalmo</w:t>
      </w:r>
      <w:proofErr w:type="spellEnd"/>
      <w:r w:rsidRPr="00FA47EE">
        <w:rPr>
          <w:rFonts w:ascii="Book Antiqua" w:hAnsi="Book Antiqua" w:cs="Tahoma"/>
          <w:bCs/>
          <w:sz w:val="22"/>
          <w:szCs w:val="22"/>
        </w:rPr>
        <w:t xml:space="preserve"> Santos Miranda, 9ª CÂMARA CÍVEL, julgamento em 12/08/2020, DJe 17/08/2020)</w:t>
      </w:r>
    </w:p>
    <w:p w14:paraId="1180E901" w14:textId="6666F2F7" w:rsidR="008B6DDA" w:rsidRPr="00FA47EE" w:rsidRDefault="008B6DDA" w:rsidP="008B6DDA">
      <w:pPr>
        <w:pBdr>
          <w:left w:val="single" w:sz="4" w:space="4" w:color="auto"/>
        </w:pBdr>
        <w:spacing w:after="240"/>
        <w:ind w:left="567"/>
        <w:jc w:val="both"/>
        <w:textAlignment w:val="top"/>
        <w:rPr>
          <w:rFonts w:ascii="Book Antiqua" w:hAnsi="Book Antiqua" w:cs="Tahoma"/>
          <w:bCs/>
          <w:sz w:val="22"/>
          <w:szCs w:val="22"/>
        </w:rPr>
      </w:pPr>
      <w:r w:rsidRPr="00FA47EE">
        <w:rPr>
          <w:rFonts w:ascii="Book Antiqua" w:hAnsi="Book Antiqua" w:cs="Tahoma"/>
          <w:bCs/>
          <w:sz w:val="22"/>
          <w:szCs w:val="22"/>
        </w:rPr>
        <w:t>“</w:t>
      </w:r>
      <w:r w:rsidRPr="00FA47EE">
        <w:rPr>
          <w:rFonts w:ascii="Book Antiqua" w:hAnsi="Book Antiqua" w:cs="Tahoma"/>
          <w:b/>
          <w:sz w:val="22"/>
          <w:szCs w:val="22"/>
          <w:u w:val="single"/>
        </w:rPr>
        <w:t>O inconformismo da parte com o resultado do laudo pericial não é suficiente para determinar a realização de nova perícia, nem mesmo a prestação de esclarecimentos pelo perito</w:t>
      </w:r>
      <w:r w:rsidRPr="00FA47EE">
        <w:rPr>
          <w:rFonts w:ascii="Book Antiqua" w:hAnsi="Book Antiqua" w:cs="Tahoma"/>
          <w:bCs/>
          <w:sz w:val="22"/>
          <w:szCs w:val="22"/>
        </w:rPr>
        <w:t>.” (TJMG - Apelação Cível 1.0000.20.023396-3/001, Relator (a): Des.(a) Sérgio André da Fonseca Xavier, 18ª CÂMARA CÍVEL, julgamento em 30/06/2020, DJe 30/06/2020).</w:t>
      </w:r>
    </w:p>
    <w:p w14:paraId="58C340E8" w14:textId="2D655693" w:rsidR="00A55745" w:rsidRPr="00FA47EE" w:rsidRDefault="00A55745" w:rsidP="00A55745">
      <w:pPr>
        <w:spacing w:after="240"/>
        <w:ind w:firstLine="1701"/>
        <w:jc w:val="both"/>
        <w:textAlignment w:val="top"/>
        <w:rPr>
          <w:rFonts w:ascii="Book Antiqua" w:hAnsi="Book Antiqua" w:cs="Tahoma"/>
          <w:bCs/>
        </w:rPr>
      </w:pPr>
      <w:r w:rsidRPr="00FA47EE">
        <w:rPr>
          <w:rFonts w:ascii="Book Antiqua" w:hAnsi="Book Antiqua" w:cs="Tahoma"/>
          <w:bCs/>
        </w:rPr>
        <w:t>Ainda, conforme entendimento deste Tribunal de Justiça, “</w:t>
      </w:r>
      <w:r w:rsidRPr="00FA47EE">
        <w:rPr>
          <w:rFonts w:ascii="Book Antiqua" w:hAnsi="Book Antiqua" w:cs="Tahoma"/>
          <w:b/>
          <w:highlight w:val="yellow"/>
          <w:u w:val="single"/>
        </w:rPr>
        <w:t>demonstrado que o auxiliar da justiça possui cadastro nacional e estadual como perito contábil, bem como encontra-se regularmente inscrito em seu conselho de classe, não há falar em substituição do perito por falta de capacidade técnica, especialmente se não evidenciada a existência das hipóteses legais de suspeição ou impedimento</w:t>
      </w:r>
      <w:r w:rsidRPr="00FA47EE">
        <w:rPr>
          <w:rFonts w:ascii="Book Antiqua" w:hAnsi="Book Antiqua" w:cs="Tahoma"/>
          <w:bCs/>
        </w:rPr>
        <w:t>” (TJ-MT – N.U. 1018748-22.2019.8.11.0000 MT, Relator: MARIO ROBERTO KONO DE OLIVEIRA, Segunda Câmara de Direito Público e Coletivo, Data de Julgamento: 09/02/2021, Data de Publicação: 11/03/2021).</w:t>
      </w:r>
    </w:p>
    <w:p w14:paraId="348F73CF" w14:textId="7939F977" w:rsidR="00A55745" w:rsidRPr="00FA47EE" w:rsidRDefault="00A55745" w:rsidP="00A55745">
      <w:pPr>
        <w:spacing w:after="240"/>
        <w:ind w:firstLine="1701"/>
        <w:jc w:val="both"/>
        <w:textAlignment w:val="top"/>
        <w:rPr>
          <w:rFonts w:ascii="Book Antiqua" w:hAnsi="Book Antiqua" w:cs="Tahoma"/>
          <w:bCs/>
        </w:rPr>
      </w:pPr>
      <w:r w:rsidRPr="00FA47EE">
        <w:rPr>
          <w:rFonts w:ascii="Book Antiqua" w:hAnsi="Book Antiqua" w:cs="Tahoma"/>
          <w:bCs/>
        </w:rPr>
        <w:t>Cito outros precedentes:</w:t>
      </w:r>
    </w:p>
    <w:p w14:paraId="25BEFBFA" w14:textId="22441D3A" w:rsidR="00A55745" w:rsidRPr="00FA47EE" w:rsidRDefault="00A55745" w:rsidP="00A55745">
      <w:pPr>
        <w:pBdr>
          <w:left w:val="single" w:sz="4" w:space="4" w:color="auto"/>
        </w:pBdr>
        <w:spacing w:after="240"/>
        <w:ind w:left="567"/>
        <w:jc w:val="both"/>
        <w:textAlignment w:val="top"/>
        <w:rPr>
          <w:rFonts w:ascii="Book Antiqua" w:hAnsi="Book Antiqua" w:cs="Tahoma"/>
          <w:bCs/>
          <w:sz w:val="22"/>
          <w:szCs w:val="22"/>
        </w:rPr>
      </w:pPr>
      <w:r w:rsidRPr="00FA47EE">
        <w:rPr>
          <w:rFonts w:ascii="Book Antiqua" w:hAnsi="Book Antiqua" w:cs="Tahoma"/>
          <w:bCs/>
          <w:sz w:val="22"/>
          <w:szCs w:val="22"/>
        </w:rPr>
        <w:t xml:space="preserve">“1. O juiz é o destinatário das provas, cabendo a ele aferir e aquilatar sobre a necessidade ou não de sua produção, a teor do que estabelece o art. 370 do novel Código de Processo Civil. 2. </w:t>
      </w:r>
      <w:r w:rsidRPr="00FA47EE">
        <w:rPr>
          <w:rFonts w:ascii="Book Antiqua" w:hAnsi="Book Antiqua" w:cs="Tahoma"/>
          <w:b/>
          <w:sz w:val="22"/>
          <w:szCs w:val="22"/>
          <w:u w:val="single"/>
        </w:rPr>
        <w:t xml:space="preserve">O Julgador está habilitado a apreciar a qualidade técnica do trabalho do profissional por ele nomeado, bem como o grau de confiança que deposita neste, pois a nomeação de perito pressupõe este último requisito como fundamental para que o Magistrado se valha dos dados técnicos com maior </w:t>
      </w:r>
      <w:r w:rsidRPr="00FA47EE">
        <w:rPr>
          <w:rFonts w:ascii="Book Antiqua" w:hAnsi="Book Antiqua" w:cs="Tahoma"/>
          <w:b/>
          <w:sz w:val="22"/>
          <w:szCs w:val="22"/>
          <w:u w:val="single"/>
        </w:rPr>
        <w:lastRenderedPageBreak/>
        <w:t>segurança para decidir a causa</w:t>
      </w:r>
      <w:r w:rsidRPr="00FA47EE">
        <w:rPr>
          <w:rFonts w:ascii="Book Antiqua" w:hAnsi="Book Antiqua" w:cs="Tahoma"/>
          <w:bCs/>
          <w:sz w:val="22"/>
          <w:szCs w:val="22"/>
        </w:rPr>
        <w:t xml:space="preserve">. 3. O fato de a </w:t>
      </w:r>
      <w:r w:rsidRPr="00FA47EE">
        <w:rPr>
          <w:rFonts w:ascii="Book Antiqua" w:hAnsi="Book Antiqua" w:cs="Tahoma"/>
          <w:b/>
          <w:sz w:val="22"/>
          <w:szCs w:val="22"/>
          <w:u w:val="single"/>
        </w:rPr>
        <w:t>parte agravante não concordar com as conclusões do laudo pericial não retira a confiança depositada pelo Julgador no profissional nomeado, razão pela qual descabe o pedido de substituição do perito</w:t>
      </w:r>
      <w:r w:rsidRPr="00FA47EE">
        <w:rPr>
          <w:rFonts w:ascii="Book Antiqua" w:hAnsi="Book Antiqua" w:cs="Tahoma"/>
          <w:bCs/>
          <w:sz w:val="22"/>
          <w:szCs w:val="22"/>
        </w:rPr>
        <w:t>.” (TJ-RS – AI nº 70079258851, Relator: Jorge Luiz Lopes do Canto, Quinta Câmara Cível, Julgado em: 18/12/2018)</w:t>
      </w:r>
    </w:p>
    <w:p w14:paraId="724CA22C" w14:textId="48B29ED1" w:rsidR="00A55745" w:rsidRPr="00FA47EE" w:rsidRDefault="00A55745" w:rsidP="00A55745">
      <w:pPr>
        <w:pBdr>
          <w:left w:val="single" w:sz="4" w:space="4" w:color="auto"/>
        </w:pBdr>
        <w:spacing w:after="240"/>
        <w:ind w:left="567"/>
        <w:jc w:val="both"/>
        <w:textAlignment w:val="top"/>
        <w:rPr>
          <w:rFonts w:ascii="Book Antiqua" w:hAnsi="Book Antiqua" w:cs="Tahoma"/>
          <w:bCs/>
          <w:sz w:val="22"/>
          <w:szCs w:val="22"/>
        </w:rPr>
      </w:pPr>
      <w:r w:rsidRPr="00FA47EE">
        <w:rPr>
          <w:rFonts w:ascii="Book Antiqua" w:hAnsi="Book Antiqua" w:cs="Tahoma"/>
          <w:bCs/>
        </w:rPr>
        <w:t>“</w:t>
      </w:r>
      <w:r w:rsidRPr="00FA47EE">
        <w:rPr>
          <w:rFonts w:ascii="Book Antiqua" w:hAnsi="Book Antiqua" w:cs="Tahoma"/>
          <w:b/>
          <w:u w:val="single"/>
        </w:rPr>
        <w:t>Por se tratar a perícia contábil de prova destinada ao juiz, incumbe a ele a escolha de profissional qualificado de sua confiança para produzi-la</w:t>
      </w:r>
      <w:r w:rsidRPr="00FA47EE">
        <w:rPr>
          <w:rFonts w:ascii="Book Antiqua" w:hAnsi="Book Antiqua" w:cs="Tahoma"/>
          <w:bCs/>
        </w:rPr>
        <w:t>.” (</w:t>
      </w:r>
      <w:r w:rsidRPr="00FA47EE">
        <w:rPr>
          <w:rFonts w:ascii="Book Antiqua" w:hAnsi="Book Antiqua" w:cs="Tahoma"/>
          <w:bCs/>
          <w:sz w:val="22"/>
          <w:szCs w:val="22"/>
        </w:rPr>
        <w:t xml:space="preserve">TJ-RS – AI nº </w:t>
      </w:r>
      <w:r w:rsidRPr="00FA47EE">
        <w:rPr>
          <w:rFonts w:ascii="Book Antiqua" w:hAnsi="Book Antiqua" w:cs="Tahoma"/>
          <w:bCs/>
        </w:rPr>
        <w:t>70078759842, Relator: Lúcia de Fátima Cerveira, Segunda Câmara Cível, Julgado em 12/12/2018)</w:t>
      </w:r>
    </w:p>
    <w:p w14:paraId="00F67065" w14:textId="53DBCAE6" w:rsidR="00A55745" w:rsidRPr="00FA47EE" w:rsidRDefault="00A55745" w:rsidP="00A55745">
      <w:pPr>
        <w:spacing w:after="240"/>
        <w:ind w:firstLine="1701"/>
        <w:jc w:val="both"/>
        <w:textAlignment w:val="top"/>
        <w:rPr>
          <w:rFonts w:ascii="Book Antiqua" w:hAnsi="Book Antiqua" w:cs="Tahoma"/>
          <w:bCs/>
        </w:rPr>
      </w:pPr>
      <w:r w:rsidRPr="00FA47EE">
        <w:rPr>
          <w:rFonts w:ascii="Book Antiqua" w:hAnsi="Book Antiqua" w:cs="Tahoma"/>
          <w:bCs/>
        </w:rPr>
        <w:t>Diante disso, não logrando a êxito a apelante em demonstrar o impedimento ou suspeição do perito nomeado pelo Juízo, tampouco a incapacidade técnica para a elaboração da perícia, não há que se falar em nulidade da perícia judicial realizado ou sua substituição.</w:t>
      </w:r>
    </w:p>
    <w:p w14:paraId="79C23F06" w14:textId="77777777" w:rsidR="008B6DDA" w:rsidRPr="00FA47EE" w:rsidRDefault="008B6DDA" w:rsidP="0005575A">
      <w:pPr>
        <w:spacing w:after="240"/>
        <w:jc w:val="both"/>
        <w:textAlignment w:val="top"/>
        <w:rPr>
          <w:rFonts w:ascii="Book Antiqua" w:hAnsi="Book Antiqua" w:cs="Tahoma"/>
        </w:rPr>
      </w:pPr>
    </w:p>
    <w:p w14:paraId="0BB189CF" w14:textId="77777777" w:rsidR="0005575A" w:rsidRPr="00FA47EE" w:rsidRDefault="0005575A" w:rsidP="0005575A">
      <w:pPr>
        <w:spacing w:after="240"/>
        <w:jc w:val="both"/>
        <w:textAlignment w:val="top"/>
        <w:rPr>
          <w:rFonts w:ascii="Book Antiqua" w:hAnsi="Book Antiqua" w:cs="Tahoma"/>
          <w:b/>
          <w:bCs/>
          <w:sz w:val="28"/>
          <w:szCs w:val="28"/>
          <w:u w:val="single"/>
        </w:rPr>
      </w:pPr>
      <w:r w:rsidRPr="00FA47EE">
        <w:rPr>
          <w:rFonts w:ascii="Book Antiqua" w:hAnsi="Book Antiqua" w:cs="Tahoma"/>
          <w:b/>
          <w:bCs/>
          <w:sz w:val="28"/>
          <w:szCs w:val="28"/>
          <w:u w:val="single"/>
        </w:rPr>
        <w:t>III. DO MÉRITO</w:t>
      </w:r>
    </w:p>
    <w:p w14:paraId="1B66B7F0" w14:textId="542AF92E" w:rsidR="00FE14F6" w:rsidRPr="00FA47EE" w:rsidRDefault="00FE14F6" w:rsidP="00FE14F6">
      <w:pPr>
        <w:spacing w:after="240"/>
        <w:jc w:val="both"/>
        <w:textAlignment w:val="top"/>
        <w:rPr>
          <w:rFonts w:ascii="Book Antiqua" w:hAnsi="Book Antiqua" w:cs="Tahoma"/>
          <w:b/>
          <w:bCs/>
          <w:sz w:val="26"/>
          <w:szCs w:val="26"/>
        </w:rPr>
      </w:pPr>
      <w:r w:rsidRPr="00FA47EE">
        <w:rPr>
          <w:rFonts w:ascii="Book Antiqua" w:hAnsi="Book Antiqua" w:cs="Tahoma"/>
          <w:b/>
          <w:bCs/>
          <w:sz w:val="26"/>
          <w:szCs w:val="26"/>
        </w:rPr>
        <w:t>III.I. PREVALÊNCIA DO LAUDO PERICIAL JUDICIAL</w:t>
      </w:r>
    </w:p>
    <w:p w14:paraId="7D87EB4A" w14:textId="034C2652" w:rsidR="00063DE7" w:rsidRPr="00FA47EE" w:rsidRDefault="00737836" w:rsidP="00063DE7">
      <w:pPr>
        <w:spacing w:after="240"/>
        <w:ind w:firstLine="1701"/>
        <w:jc w:val="both"/>
        <w:textAlignment w:val="top"/>
        <w:rPr>
          <w:rFonts w:ascii="Book Antiqua" w:hAnsi="Book Antiqua" w:cs="Tahoma"/>
        </w:rPr>
      </w:pPr>
      <w:r w:rsidRPr="00FA47EE">
        <w:rPr>
          <w:rFonts w:ascii="Book Antiqua" w:hAnsi="Book Antiqua" w:cs="Tahoma"/>
        </w:rPr>
        <w:t xml:space="preserve">Pugna a apelante, resumidamente, </w:t>
      </w:r>
      <w:r w:rsidRPr="00FA47EE">
        <w:rPr>
          <w:rFonts w:ascii="Book Antiqua" w:hAnsi="Book Antiqua" w:cs="Tahoma"/>
          <w:b/>
          <w:bCs/>
          <w:u w:val="single"/>
        </w:rPr>
        <w:t>que seja levado em consideração o laudo pericial realizado extrajudicialmente e unilateralmente para aferição do valor devido</w:t>
      </w:r>
      <w:r w:rsidRPr="00FA47EE">
        <w:rPr>
          <w:rFonts w:ascii="Book Antiqua" w:hAnsi="Book Antiqua" w:cs="Tahoma"/>
        </w:rPr>
        <w:t>.</w:t>
      </w:r>
    </w:p>
    <w:p w14:paraId="6AC59FF7" w14:textId="66DE3D4D" w:rsidR="00063DE7" w:rsidRPr="00FA47EE" w:rsidRDefault="00063DE7" w:rsidP="00063DE7">
      <w:pPr>
        <w:spacing w:after="240"/>
        <w:ind w:firstLine="1701"/>
        <w:jc w:val="both"/>
        <w:textAlignment w:val="top"/>
        <w:rPr>
          <w:rFonts w:ascii="Book Antiqua" w:hAnsi="Book Antiqua" w:cs="Tahoma"/>
        </w:rPr>
      </w:pPr>
      <w:r w:rsidRPr="00FA47EE">
        <w:rPr>
          <w:rFonts w:ascii="Book Antiqua" w:hAnsi="Book Antiqua" w:cs="Tahoma"/>
        </w:rPr>
        <w:t xml:space="preserve">Não obstante as alegações da parte apelante de que o laudo não demonstrou a metodologia científica utilizada, verifica-se que </w:t>
      </w:r>
      <w:r w:rsidRPr="00FA47EE">
        <w:rPr>
          <w:rFonts w:ascii="Book Antiqua" w:hAnsi="Book Antiqua" w:cs="Tahoma"/>
          <w:b/>
          <w:bCs/>
          <w:u w:val="single"/>
        </w:rPr>
        <w:t>o perito judicial foi diligente na análise e respondeu os motivos que o levaram a conclusão apresentada</w:t>
      </w:r>
      <w:r w:rsidRPr="00FA47EE">
        <w:rPr>
          <w:rFonts w:ascii="Book Antiqua" w:hAnsi="Book Antiqua" w:cs="Tahoma"/>
        </w:rPr>
        <w:t xml:space="preserve">, com as considerações técnicas e estudo aos padrões de confronto, concluindo que </w:t>
      </w:r>
      <w:r w:rsidRPr="00FA47EE">
        <w:rPr>
          <w:rFonts w:ascii="Book Antiqua" w:hAnsi="Book Antiqua" w:cs="Tahoma"/>
          <w:b/>
          <w:bCs/>
          <w:u w:val="single"/>
        </w:rPr>
        <w:t>não existe nenhuma diferença em favor da parte autora na realização da conversão</w:t>
      </w:r>
      <w:r w:rsidRPr="00FA47EE">
        <w:rPr>
          <w:rFonts w:ascii="Book Antiqua" w:hAnsi="Book Antiqua" w:cs="Tahoma"/>
        </w:rPr>
        <w:t>.</w:t>
      </w:r>
    </w:p>
    <w:p w14:paraId="3A96BBB2" w14:textId="77777777" w:rsidR="00063DE7" w:rsidRPr="00FA47EE" w:rsidRDefault="00063DE7" w:rsidP="00063DE7">
      <w:pPr>
        <w:spacing w:after="240"/>
        <w:ind w:firstLine="1701"/>
        <w:jc w:val="both"/>
        <w:textAlignment w:val="top"/>
        <w:rPr>
          <w:rFonts w:ascii="Book Antiqua" w:hAnsi="Book Antiqua" w:cs="Tahoma"/>
        </w:rPr>
      </w:pPr>
      <w:r w:rsidRPr="00FA47EE">
        <w:rPr>
          <w:rFonts w:ascii="Book Antiqua" w:hAnsi="Book Antiqua" w:cs="Tahoma"/>
        </w:rPr>
        <w:t>Nesse vértice, necessário registrar que o magistrado é o destinatário da prova e, com base no princípio do livre convencimento motivado, cabe a ele apreciá-las e indicar as razões do seu convencimento, conforme disposições do CPC:</w:t>
      </w:r>
    </w:p>
    <w:p w14:paraId="43AB7AE6" w14:textId="77777777" w:rsidR="00063DE7" w:rsidRPr="00FA47EE" w:rsidRDefault="00063DE7" w:rsidP="00FE14F6">
      <w:pPr>
        <w:pBdr>
          <w:left w:val="single" w:sz="4" w:space="4" w:color="auto"/>
        </w:pBdr>
        <w:spacing w:after="240"/>
        <w:ind w:left="567"/>
        <w:jc w:val="both"/>
        <w:textAlignment w:val="top"/>
        <w:rPr>
          <w:rFonts w:ascii="Book Antiqua" w:hAnsi="Book Antiqua" w:cs="Tahoma"/>
          <w:sz w:val="22"/>
          <w:szCs w:val="22"/>
        </w:rPr>
      </w:pPr>
      <w:r w:rsidRPr="00FA47EE">
        <w:rPr>
          <w:rFonts w:ascii="Book Antiqua" w:hAnsi="Book Antiqua" w:cs="Tahoma"/>
          <w:sz w:val="22"/>
          <w:szCs w:val="22"/>
        </w:rPr>
        <w:t>Art. 371. O juiz apreciará a prova constante dos autos, independentemente do sujeito que a tiver promovido, e indicará na decisão as razões da formação de seu convencimento.</w:t>
      </w:r>
    </w:p>
    <w:p w14:paraId="24969E3A" w14:textId="77777777" w:rsidR="00063DE7" w:rsidRPr="00FA47EE" w:rsidRDefault="00063DE7" w:rsidP="00FE14F6">
      <w:pPr>
        <w:pBdr>
          <w:left w:val="single" w:sz="4" w:space="4" w:color="auto"/>
        </w:pBdr>
        <w:spacing w:after="240"/>
        <w:ind w:left="567"/>
        <w:jc w:val="both"/>
        <w:textAlignment w:val="top"/>
        <w:rPr>
          <w:rFonts w:ascii="Book Antiqua" w:hAnsi="Book Antiqua" w:cs="Tahoma"/>
          <w:sz w:val="22"/>
          <w:szCs w:val="22"/>
        </w:rPr>
      </w:pPr>
      <w:r w:rsidRPr="00FA47EE">
        <w:rPr>
          <w:rFonts w:ascii="Book Antiqua" w:hAnsi="Book Antiqua" w:cs="Tahoma"/>
          <w:sz w:val="22"/>
          <w:szCs w:val="22"/>
        </w:rPr>
        <w:t>(...)</w:t>
      </w:r>
    </w:p>
    <w:p w14:paraId="4140D449" w14:textId="77777777" w:rsidR="00063DE7" w:rsidRPr="00FA47EE" w:rsidRDefault="00063DE7" w:rsidP="00FE14F6">
      <w:pPr>
        <w:pBdr>
          <w:left w:val="single" w:sz="4" w:space="4" w:color="auto"/>
        </w:pBdr>
        <w:spacing w:after="240"/>
        <w:ind w:left="567"/>
        <w:jc w:val="both"/>
        <w:textAlignment w:val="top"/>
        <w:rPr>
          <w:rFonts w:ascii="Book Antiqua" w:hAnsi="Book Antiqua" w:cs="Tahoma"/>
          <w:sz w:val="22"/>
          <w:szCs w:val="22"/>
        </w:rPr>
      </w:pPr>
      <w:r w:rsidRPr="00FA47EE">
        <w:rPr>
          <w:rFonts w:ascii="Book Antiqua" w:hAnsi="Book Antiqua" w:cs="Tahoma"/>
          <w:sz w:val="22"/>
          <w:szCs w:val="22"/>
        </w:rPr>
        <w:t xml:space="preserve">Art. 479. </w:t>
      </w:r>
      <w:r w:rsidRPr="00FA47EE">
        <w:rPr>
          <w:rFonts w:ascii="Book Antiqua" w:hAnsi="Book Antiqua" w:cs="Tahoma"/>
          <w:b/>
          <w:bCs/>
          <w:sz w:val="22"/>
          <w:szCs w:val="22"/>
          <w:u w:val="single"/>
        </w:rPr>
        <w:t>O juiz apreciará a prova pericial de acordo com o disposto no art. 371, indicando na sentença os motivos que o levaram a considerar ou a deixar de considerar as conclusões do laudo, levando em conta o método utilizado pelo perito</w:t>
      </w:r>
      <w:r w:rsidRPr="00FA47EE">
        <w:rPr>
          <w:rFonts w:ascii="Book Antiqua" w:hAnsi="Book Antiqua" w:cs="Tahoma"/>
          <w:sz w:val="22"/>
          <w:szCs w:val="22"/>
        </w:rPr>
        <w:t>.</w:t>
      </w:r>
    </w:p>
    <w:p w14:paraId="154BEA06" w14:textId="7C222FFD" w:rsidR="00063DE7" w:rsidRPr="00FA47EE" w:rsidRDefault="00063DE7" w:rsidP="00063DE7">
      <w:pPr>
        <w:spacing w:after="240"/>
        <w:ind w:firstLine="1701"/>
        <w:jc w:val="both"/>
        <w:textAlignment w:val="top"/>
        <w:rPr>
          <w:rFonts w:ascii="Book Antiqua" w:hAnsi="Book Antiqua" w:cs="Tahoma"/>
        </w:rPr>
      </w:pPr>
      <w:r w:rsidRPr="00FA47EE">
        <w:rPr>
          <w:rFonts w:ascii="Book Antiqua" w:hAnsi="Book Antiqua" w:cs="Tahoma"/>
        </w:rPr>
        <w:lastRenderedPageBreak/>
        <w:t xml:space="preserve">Sendo assim, </w:t>
      </w:r>
      <w:r w:rsidRPr="00FA47EE">
        <w:rPr>
          <w:rFonts w:ascii="Book Antiqua" w:hAnsi="Book Antiqua" w:cs="Tahoma"/>
          <w:b/>
          <w:bCs/>
          <w:u w:val="single"/>
        </w:rPr>
        <w:t>estando devidamente coerente e complet</w:t>
      </w:r>
      <w:r w:rsidR="00FE14F6" w:rsidRPr="00FA47EE">
        <w:rPr>
          <w:rFonts w:ascii="Book Antiqua" w:hAnsi="Book Antiqua" w:cs="Tahoma"/>
          <w:b/>
          <w:bCs/>
          <w:u w:val="single"/>
        </w:rPr>
        <w:t>o</w:t>
      </w:r>
      <w:r w:rsidRPr="00FA47EE">
        <w:rPr>
          <w:rFonts w:ascii="Book Antiqua" w:hAnsi="Book Antiqua" w:cs="Tahoma"/>
          <w:b/>
          <w:bCs/>
          <w:u w:val="single"/>
        </w:rPr>
        <w:t xml:space="preserve"> </w:t>
      </w:r>
      <w:r w:rsidR="00FE14F6" w:rsidRPr="00FA47EE">
        <w:rPr>
          <w:rFonts w:ascii="Book Antiqua" w:hAnsi="Book Antiqua" w:cs="Tahoma"/>
          <w:b/>
          <w:bCs/>
          <w:u w:val="single"/>
        </w:rPr>
        <w:t xml:space="preserve">o laudo </w:t>
      </w:r>
      <w:r w:rsidRPr="00FA47EE">
        <w:rPr>
          <w:rFonts w:ascii="Book Antiqua" w:hAnsi="Book Antiqua" w:cs="Tahoma"/>
          <w:b/>
          <w:bCs/>
          <w:u w:val="single"/>
        </w:rPr>
        <w:t>pericial</w:t>
      </w:r>
      <w:r w:rsidR="00FE14F6" w:rsidRPr="00FA47EE">
        <w:rPr>
          <w:rFonts w:ascii="Book Antiqua" w:hAnsi="Book Antiqua" w:cs="Tahoma"/>
          <w:b/>
          <w:bCs/>
          <w:u w:val="single"/>
        </w:rPr>
        <w:t xml:space="preserve"> judicial</w:t>
      </w:r>
      <w:r w:rsidRPr="00FA47EE">
        <w:rPr>
          <w:rFonts w:ascii="Book Antiqua" w:hAnsi="Book Antiqua" w:cs="Tahoma"/>
          <w:b/>
          <w:bCs/>
          <w:u w:val="single"/>
        </w:rPr>
        <w:t>, na forma do art. 473 do CPC, est</w:t>
      </w:r>
      <w:r w:rsidR="00FE14F6" w:rsidRPr="00FA47EE">
        <w:rPr>
          <w:rFonts w:ascii="Book Antiqua" w:hAnsi="Book Antiqua" w:cs="Tahoma"/>
          <w:b/>
          <w:bCs/>
          <w:u w:val="single"/>
        </w:rPr>
        <w:t>e</w:t>
      </w:r>
      <w:r w:rsidRPr="00FA47EE">
        <w:rPr>
          <w:rFonts w:ascii="Book Antiqua" w:hAnsi="Book Antiqua" w:cs="Tahoma"/>
          <w:b/>
          <w:bCs/>
          <w:u w:val="single"/>
        </w:rPr>
        <w:t xml:space="preserve"> deve prevalecer sobre o extrajudicial produzido unilateralmente</w:t>
      </w:r>
      <w:r w:rsidRPr="00FA47EE">
        <w:rPr>
          <w:rFonts w:ascii="Book Antiqua" w:hAnsi="Book Antiqua" w:cs="Tahoma"/>
        </w:rPr>
        <w:t xml:space="preserve">, diante da presunção de imparcialidade do perito, enquanto </w:t>
      </w:r>
      <w:r w:rsidR="00FE14F6" w:rsidRPr="00FA47EE">
        <w:rPr>
          <w:rFonts w:ascii="Book Antiqua" w:hAnsi="Book Antiqua" w:cs="Tahoma"/>
        </w:rPr>
        <w:t xml:space="preserve">no segundo, o perito foi </w:t>
      </w:r>
      <w:r w:rsidRPr="00FA47EE">
        <w:rPr>
          <w:rFonts w:ascii="Book Antiqua" w:hAnsi="Book Antiqua" w:cs="Tahoma"/>
        </w:rPr>
        <w:t xml:space="preserve">contratado pela parte </w:t>
      </w:r>
      <w:r w:rsidR="00FE14F6" w:rsidRPr="00FA47EE">
        <w:rPr>
          <w:rFonts w:ascii="Book Antiqua" w:hAnsi="Book Antiqua" w:cs="Tahoma"/>
        </w:rPr>
        <w:t>apelante</w:t>
      </w:r>
      <w:r w:rsidRPr="00FA47EE">
        <w:rPr>
          <w:rFonts w:ascii="Book Antiqua" w:hAnsi="Book Antiqua" w:cs="Tahoma"/>
        </w:rPr>
        <w:t xml:space="preserve"> para defender seus interesses.</w:t>
      </w:r>
      <w:r w:rsidR="00FE14F6" w:rsidRPr="00FA47EE">
        <w:rPr>
          <w:rFonts w:ascii="Book Antiqua" w:hAnsi="Book Antiqua" w:cs="Tahoma"/>
        </w:rPr>
        <w:t xml:space="preserve"> Neste sentido:</w:t>
      </w:r>
    </w:p>
    <w:p w14:paraId="513D630A" w14:textId="75837E32" w:rsidR="00FE14F6" w:rsidRPr="00FA47EE" w:rsidRDefault="00FE14F6" w:rsidP="00FE14F6">
      <w:pPr>
        <w:pBdr>
          <w:left w:val="single" w:sz="4" w:space="4" w:color="auto"/>
        </w:pBdr>
        <w:spacing w:after="240"/>
        <w:ind w:left="567"/>
        <w:jc w:val="both"/>
        <w:textAlignment w:val="top"/>
        <w:rPr>
          <w:rFonts w:ascii="Book Antiqua" w:hAnsi="Book Antiqua" w:cs="Tahoma"/>
          <w:sz w:val="22"/>
          <w:szCs w:val="22"/>
        </w:rPr>
      </w:pPr>
      <w:r w:rsidRPr="00FA47EE">
        <w:rPr>
          <w:rFonts w:ascii="Book Antiqua" w:hAnsi="Book Antiqua" w:cs="Tahoma"/>
          <w:sz w:val="22"/>
          <w:szCs w:val="22"/>
        </w:rPr>
        <w:t>“</w:t>
      </w:r>
      <w:r w:rsidRPr="00FA47EE">
        <w:rPr>
          <w:rFonts w:ascii="Book Antiqua" w:hAnsi="Book Antiqua" w:cs="Tahoma"/>
          <w:b/>
          <w:bCs/>
          <w:sz w:val="22"/>
          <w:szCs w:val="22"/>
          <w:u w:val="single"/>
        </w:rPr>
        <w:t>Havendo divergência entre o laudo apresentado pelo perito e o parecer do assistente técnico, via de regra deve prevalecer aquele elaborado pelo perito oficial, porquanto é presumível a sua imparcialidade à solução da demanda e por estar equidistante do interesse particular das partes</w:t>
      </w:r>
      <w:r w:rsidRPr="00FA47EE">
        <w:rPr>
          <w:rFonts w:ascii="Book Antiqua" w:hAnsi="Book Antiqua" w:cs="Tahoma"/>
          <w:sz w:val="22"/>
          <w:szCs w:val="22"/>
        </w:rPr>
        <w:t xml:space="preserve">.” (TJ-SC - APL: 03032861-9.2014.8.24.0020, Relator: Silvio Dagoberto </w:t>
      </w:r>
      <w:proofErr w:type="spellStart"/>
      <w:r w:rsidRPr="00FA47EE">
        <w:rPr>
          <w:rFonts w:ascii="Book Antiqua" w:hAnsi="Book Antiqua" w:cs="Tahoma"/>
          <w:sz w:val="22"/>
          <w:szCs w:val="22"/>
        </w:rPr>
        <w:t>Orsatto</w:t>
      </w:r>
      <w:proofErr w:type="spellEnd"/>
      <w:r w:rsidRPr="00FA47EE">
        <w:rPr>
          <w:rFonts w:ascii="Book Antiqua" w:hAnsi="Book Antiqua" w:cs="Tahoma"/>
          <w:sz w:val="22"/>
          <w:szCs w:val="22"/>
        </w:rPr>
        <w:t>, Primeira Câmara de Direito Civil, Data de Julgamento: 13/10/2022)</w:t>
      </w:r>
    </w:p>
    <w:p w14:paraId="46C931D9" w14:textId="376A47AA" w:rsidR="00FE14F6" w:rsidRPr="00FA47EE" w:rsidRDefault="00FE14F6" w:rsidP="00FE14F6">
      <w:pPr>
        <w:pBdr>
          <w:left w:val="single" w:sz="4" w:space="4" w:color="auto"/>
        </w:pBdr>
        <w:spacing w:after="240"/>
        <w:ind w:left="567"/>
        <w:jc w:val="both"/>
        <w:textAlignment w:val="top"/>
        <w:rPr>
          <w:rFonts w:ascii="Book Antiqua" w:hAnsi="Book Antiqua" w:cs="Tahoma"/>
          <w:sz w:val="22"/>
          <w:szCs w:val="22"/>
        </w:rPr>
      </w:pPr>
      <w:r w:rsidRPr="00FA47EE">
        <w:rPr>
          <w:rFonts w:ascii="Book Antiqua" w:hAnsi="Book Antiqua" w:cs="Tahoma"/>
          <w:sz w:val="22"/>
          <w:szCs w:val="22"/>
        </w:rPr>
        <w:t>“</w:t>
      </w:r>
      <w:r w:rsidRPr="00FA47EE">
        <w:rPr>
          <w:rFonts w:ascii="Book Antiqua" w:hAnsi="Book Antiqua" w:cs="Tahoma"/>
          <w:b/>
          <w:bCs/>
          <w:sz w:val="22"/>
          <w:szCs w:val="22"/>
          <w:u w:val="single"/>
        </w:rPr>
        <w:t>Prevalência do laudo pericial judicial, pois o perito judicial é de confiança do juízo e está em posição equidistante das partes, tendo, assim, condições de apresentar um trabalho, além de técnico, imparcial</w:t>
      </w:r>
      <w:r w:rsidRPr="00FA47EE">
        <w:rPr>
          <w:rFonts w:ascii="Book Antiqua" w:hAnsi="Book Antiqua" w:cs="Tahoma"/>
          <w:sz w:val="22"/>
          <w:szCs w:val="22"/>
        </w:rPr>
        <w:t>.” (TRF-1 - AC: 0062101-08.2010.4.01.3800, Relator: JUIZ FEDERAL WAGNER MOTA ALVES DE SOUZA, Data de Julgamento: 18/11/2015, PRIMEIRA TURMA, Data de Publicação: 12/02/2016)</w:t>
      </w:r>
    </w:p>
    <w:p w14:paraId="78AF5BE3" w14:textId="002F5491" w:rsidR="00FE14F6" w:rsidRPr="00FA47EE" w:rsidRDefault="00FE14F6" w:rsidP="00FE14F6">
      <w:pPr>
        <w:pBdr>
          <w:left w:val="single" w:sz="4" w:space="4" w:color="auto"/>
        </w:pBdr>
        <w:spacing w:after="240"/>
        <w:ind w:left="567"/>
        <w:jc w:val="both"/>
        <w:textAlignment w:val="top"/>
        <w:rPr>
          <w:rFonts w:ascii="Book Antiqua" w:hAnsi="Book Antiqua" w:cs="Tahoma"/>
          <w:sz w:val="22"/>
          <w:szCs w:val="22"/>
        </w:rPr>
      </w:pPr>
      <w:r w:rsidRPr="00FA47EE">
        <w:rPr>
          <w:rFonts w:ascii="Book Antiqua" w:hAnsi="Book Antiqua" w:cs="Tahoma"/>
          <w:sz w:val="22"/>
          <w:szCs w:val="22"/>
        </w:rPr>
        <w:t>“</w:t>
      </w:r>
      <w:r w:rsidRPr="00FA47EE">
        <w:rPr>
          <w:rFonts w:ascii="Book Antiqua" w:hAnsi="Book Antiqua" w:cs="Tahoma"/>
          <w:b/>
          <w:bCs/>
          <w:sz w:val="22"/>
          <w:szCs w:val="22"/>
          <w:u w:val="single"/>
        </w:rPr>
        <w:t>Havendo divergência entre as conclusões adotadas pelo perito oficial e pelo assistente técnico da parte, somente prevalecerá o resultado deste último se houver nos autos outras provas robustas capazes de sustentar a sua versão</w:t>
      </w:r>
      <w:r w:rsidRPr="00FA47EE">
        <w:rPr>
          <w:rFonts w:ascii="Book Antiqua" w:hAnsi="Book Antiqua" w:cs="Tahoma"/>
          <w:sz w:val="22"/>
          <w:szCs w:val="22"/>
        </w:rPr>
        <w:t>.” (TJ-MG - AC: 10702150303379002, Relator: Pedro Bernardes, Data de Julgamento: 12/11/2019, Data de Publicação: 25/11/2019)</w:t>
      </w:r>
    </w:p>
    <w:p w14:paraId="2070D9EC" w14:textId="2464EE4E" w:rsidR="00FE14F6" w:rsidRPr="00FA47EE" w:rsidRDefault="00FE14F6" w:rsidP="00FE14F6">
      <w:pPr>
        <w:spacing w:after="240"/>
        <w:ind w:firstLine="1701"/>
        <w:jc w:val="both"/>
        <w:textAlignment w:val="top"/>
        <w:rPr>
          <w:rFonts w:ascii="Book Antiqua" w:hAnsi="Book Antiqua" w:cs="Tahoma"/>
        </w:rPr>
      </w:pPr>
      <w:r w:rsidRPr="00FA47EE">
        <w:rPr>
          <w:rFonts w:ascii="Book Antiqua" w:hAnsi="Book Antiqua" w:cs="Tahoma"/>
        </w:rPr>
        <w:t xml:space="preserve">Diante do exposto, em observância ao princípio do contraditório e ampla defesa, </w:t>
      </w:r>
      <w:r w:rsidRPr="00FA47EE">
        <w:rPr>
          <w:rFonts w:ascii="Book Antiqua" w:hAnsi="Book Antiqua" w:cs="Tahoma"/>
          <w:b/>
          <w:bCs/>
          <w:u w:val="single"/>
        </w:rPr>
        <w:t>deve prevalecer o laudo pericial judicial que reconheceu a hipótese de “liquidação zero”</w:t>
      </w:r>
      <w:r w:rsidRPr="00FA47EE">
        <w:rPr>
          <w:rFonts w:ascii="Book Antiqua" w:hAnsi="Book Antiqua" w:cs="Tahoma"/>
        </w:rPr>
        <w:t>, mantendo a r. sentença em todos os seus termos.</w:t>
      </w:r>
    </w:p>
    <w:p w14:paraId="3D01D777" w14:textId="77777777" w:rsidR="00FE14F6" w:rsidRPr="00FA47EE" w:rsidRDefault="00FE14F6" w:rsidP="00FE14F6">
      <w:pPr>
        <w:spacing w:after="240"/>
        <w:ind w:firstLine="1701"/>
        <w:jc w:val="both"/>
        <w:textAlignment w:val="top"/>
        <w:rPr>
          <w:rFonts w:ascii="Book Antiqua" w:hAnsi="Book Antiqua" w:cs="Tahoma"/>
        </w:rPr>
      </w:pPr>
    </w:p>
    <w:p w14:paraId="4DB40E8D" w14:textId="28681EBC" w:rsidR="00FE14F6" w:rsidRPr="00FA47EE" w:rsidRDefault="00FE14F6" w:rsidP="00ED766C">
      <w:pPr>
        <w:spacing w:after="240"/>
        <w:jc w:val="both"/>
        <w:textAlignment w:val="top"/>
        <w:rPr>
          <w:rFonts w:ascii="Book Antiqua" w:hAnsi="Book Antiqua" w:cs="Tahoma"/>
          <w:b/>
          <w:bCs/>
          <w:sz w:val="26"/>
          <w:szCs w:val="26"/>
        </w:rPr>
      </w:pPr>
      <w:r w:rsidRPr="00FA47EE">
        <w:rPr>
          <w:rFonts w:ascii="Book Antiqua" w:hAnsi="Book Antiqua" w:cs="Tahoma"/>
          <w:b/>
          <w:bCs/>
          <w:sz w:val="26"/>
          <w:szCs w:val="26"/>
        </w:rPr>
        <w:t>III.II. DA LIQUIDAÇÃO ZERO</w:t>
      </w:r>
    </w:p>
    <w:p w14:paraId="18C2C066" w14:textId="43993A63" w:rsidR="00ED766C" w:rsidRPr="00FA47EE" w:rsidRDefault="00ED766C" w:rsidP="00ED766C">
      <w:pPr>
        <w:spacing w:before="200" w:after="200"/>
        <w:ind w:firstLine="1701"/>
        <w:jc w:val="both"/>
        <w:rPr>
          <w:rFonts w:ascii="Book Antiqua" w:hAnsi="Book Antiqua" w:cs="Tahoma"/>
        </w:rPr>
      </w:pPr>
      <w:r w:rsidRPr="00FA47EE">
        <w:rPr>
          <w:rFonts w:ascii="Book Antiqua" w:hAnsi="Book Antiqua" w:cs="Tahoma"/>
        </w:rPr>
        <w:t xml:space="preserve">Segundo apontou o perito judicial nomeado pelo Juízo, “(...) </w:t>
      </w:r>
      <w:r w:rsidRPr="00FA47EE">
        <w:rPr>
          <w:rFonts w:ascii="Book Antiqua" w:hAnsi="Book Antiqua" w:cs="Tahoma"/>
          <w:b/>
          <w:bCs/>
          <w:i/>
          <w:iCs/>
        </w:rPr>
        <w:t xml:space="preserve">A partir de março/94, </w:t>
      </w:r>
      <w:r w:rsidRPr="00FA47EE">
        <w:rPr>
          <w:rFonts w:ascii="Book Antiqua" w:hAnsi="Book Antiqua" w:cs="Tahoma"/>
          <w:b/>
          <w:bCs/>
          <w:i/>
          <w:iCs/>
          <w:u w:val="single"/>
        </w:rPr>
        <w:t>a remuneração recebida foi igual à que era devida, portanto, não é existe nenhuma diferença em favor da parte autora na realização da conversão</w:t>
      </w:r>
      <w:r w:rsidRPr="00FA47EE">
        <w:rPr>
          <w:rFonts w:ascii="Book Antiqua" w:hAnsi="Book Antiqua" w:cs="Tahoma"/>
        </w:rPr>
        <w:t>.</w:t>
      </w:r>
    </w:p>
    <w:p w14:paraId="025BCC6B" w14:textId="7E20DAAA" w:rsidR="00ED766C" w:rsidRPr="00FA47EE" w:rsidRDefault="00ED766C" w:rsidP="00ED766C">
      <w:pPr>
        <w:spacing w:before="200" w:after="200"/>
        <w:ind w:firstLine="1701"/>
        <w:jc w:val="both"/>
        <w:rPr>
          <w:rFonts w:ascii="Book Antiqua" w:hAnsi="Book Antiqua" w:cs="Tahoma"/>
        </w:rPr>
      </w:pPr>
      <w:r w:rsidRPr="00FA47EE">
        <w:rPr>
          <w:rFonts w:ascii="Book Antiqua" w:hAnsi="Book Antiqua" w:cs="Tahoma"/>
        </w:rPr>
        <w:t>Nesse passo, na</w:t>
      </w:r>
      <w:r w:rsidRPr="00FA47EE">
        <w:rPr>
          <w:rFonts w:ascii="Book Antiqua" w:hAnsi="Book Antiqua" w:cs="Tahoma"/>
          <w:color w:val="000000"/>
        </w:rPr>
        <w:t xml:space="preserve"> fase de liquidação por arbitramento cabe ao perito nomeado fornecer dados técnicos considerando o decidido na sentença liquidanda e ao juiz, por sua vez, proceder à valoração desta prova em conjunto com as demais existentes nos autos, não estando, consequentemente, subordinado ao laudo pericial.</w:t>
      </w:r>
    </w:p>
    <w:p w14:paraId="16BDE3AA" w14:textId="77777777" w:rsidR="00ED766C" w:rsidRPr="00FA47EE" w:rsidRDefault="00ED766C" w:rsidP="00ED766C">
      <w:pPr>
        <w:spacing w:before="200" w:after="200"/>
        <w:ind w:firstLine="1701"/>
        <w:jc w:val="both"/>
        <w:rPr>
          <w:rFonts w:ascii="Book Antiqua" w:hAnsi="Book Antiqua" w:cs="Tahoma"/>
        </w:rPr>
      </w:pPr>
      <w:r w:rsidRPr="00FA47EE">
        <w:rPr>
          <w:rFonts w:ascii="Book Antiqua" w:hAnsi="Book Antiqua" w:cs="Tahoma"/>
        </w:rPr>
        <w:t xml:space="preserve">Em vista disso, restou cristalino que o ponto fulcral da questão </w:t>
      </w:r>
      <w:proofErr w:type="gramStart"/>
      <w:r w:rsidRPr="00FA47EE">
        <w:rPr>
          <w:rFonts w:ascii="Book Antiqua" w:hAnsi="Book Antiqua" w:cs="Tahoma"/>
        </w:rPr>
        <w:t>cinge-se</w:t>
      </w:r>
      <w:proofErr w:type="gramEnd"/>
      <w:r w:rsidRPr="00FA47EE">
        <w:rPr>
          <w:rFonts w:ascii="Book Antiqua" w:hAnsi="Book Antiqua" w:cs="Tahoma"/>
        </w:rPr>
        <w:t xml:space="preserve"> na liquidação de decisão relacionada à URV, </w:t>
      </w:r>
      <w:r w:rsidRPr="00FA47EE">
        <w:rPr>
          <w:rFonts w:ascii="Book Antiqua" w:hAnsi="Book Antiqua" w:cs="Tahoma"/>
          <w:b/>
          <w:bCs/>
          <w:u w:val="single"/>
        </w:rPr>
        <w:t>cujo cálculo do perito não encontrou valores a serem restituídos, pelo Município à parte exequente</w:t>
      </w:r>
      <w:r w:rsidRPr="00FA47EE">
        <w:rPr>
          <w:rFonts w:ascii="Book Antiqua" w:hAnsi="Book Antiqua" w:cs="Tahoma"/>
        </w:rPr>
        <w:t>.</w:t>
      </w:r>
    </w:p>
    <w:p w14:paraId="0DD3AC7B" w14:textId="282E6597" w:rsidR="00ED766C" w:rsidRPr="00FA47EE" w:rsidRDefault="00ED766C" w:rsidP="00ED766C">
      <w:pPr>
        <w:spacing w:before="200" w:after="200"/>
        <w:ind w:firstLine="1701"/>
        <w:jc w:val="both"/>
        <w:rPr>
          <w:rFonts w:ascii="Book Antiqua" w:hAnsi="Book Antiqua" w:cs="Tahoma"/>
        </w:rPr>
      </w:pPr>
      <w:r w:rsidRPr="00FA47EE">
        <w:rPr>
          <w:rFonts w:ascii="Book Antiqua" w:hAnsi="Book Antiqua" w:cs="Tahoma"/>
        </w:rPr>
        <w:t xml:space="preserve">Com efeito, não verificadas quaisquer imperfeições no laudo pericial que visava apurar perdas salariais de servidores públicos decorrentes da conversão </w:t>
      </w:r>
      <w:r w:rsidRPr="00FA47EE">
        <w:rPr>
          <w:rFonts w:ascii="Book Antiqua" w:hAnsi="Book Antiqua" w:cs="Tahoma"/>
        </w:rPr>
        <w:lastRenderedPageBreak/>
        <w:t>da moeda em URV, posto que observada metodologia imposta pelo art. 22 da Lei nº 8.880/1994</w:t>
      </w:r>
      <w:r w:rsidRPr="00FA47EE">
        <w:rPr>
          <w:rStyle w:val="Refdenotaderodap"/>
          <w:rFonts w:ascii="Book Antiqua" w:hAnsi="Book Antiqua" w:cs="Tahoma"/>
        </w:rPr>
        <w:footnoteReference w:id="4"/>
      </w:r>
      <w:r w:rsidRPr="00FA47EE">
        <w:rPr>
          <w:rFonts w:ascii="Book Antiqua" w:hAnsi="Book Antiqua" w:cs="Tahoma"/>
        </w:rPr>
        <w:t>, devem ser acolhidas integralmente as conclusões da referida prova técnica, que decidiu por “</w:t>
      </w:r>
      <w:r w:rsidRPr="00FA47EE">
        <w:rPr>
          <w:rFonts w:ascii="Book Antiqua" w:hAnsi="Book Antiqua" w:cs="Tahoma"/>
          <w:b/>
          <w:bCs/>
          <w:u w:val="single"/>
        </w:rPr>
        <w:t>liquidação zero</w:t>
      </w:r>
      <w:r w:rsidRPr="00FA47EE">
        <w:rPr>
          <w:rFonts w:ascii="Book Antiqua" w:hAnsi="Book Antiqua" w:cs="Tahoma"/>
        </w:rPr>
        <w:t>”.</w:t>
      </w:r>
    </w:p>
    <w:p w14:paraId="0C25F93C" w14:textId="77777777" w:rsidR="00ED766C" w:rsidRPr="00FA47EE" w:rsidRDefault="00ED766C" w:rsidP="00ED766C">
      <w:pPr>
        <w:spacing w:before="200" w:after="200"/>
        <w:ind w:firstLine="1701"/>
        <w:jc w:val="both"/>
        <w:rPr>
          <w:rFonts w:ascii="Book Antiqua" w:hAnsi="Book Antiqua" w:cs="Tahoma"/>
        </w:rPr>
      </w:pPr>
      <w:r w:rsidRPr="00FA47EE">
        <w:rPr>
          <w:rFonts w:ascii="Book Antiqua" w:hAnsi="Book Antiqua" w:cs="Tahoma"/>
          <w:b/>
          <w:bCs/>
          <w:u w:val="single"/>
        </w:rPr>
        <w:t>Quando numa decisão se reconhece o direito em desfavor de uma das partes, sobejando para momento ulterior a apuração e definição do </w:t>
      </w:r>
      <w:r w:rsidRPr="00FA47EE">
        <w:rPr>
          <w:rFonts w:ascii="Book Antiqua" w:hAnsi="Book Antiqua" w:cs="Tahoma"/>
          <w:b/>
          <w:bCs/>
          <w:i/>
          <w:iCs/>
          <w:u w:val="single"/>
        </w:rPr>
        <w:t>quantum</w:t>
      </w:r>
      <w:r w:rsidRPr="00FA47EE">
        <w:rPr>
          <w:rFonts w:ascii="Book Antiqua" w:hAnsi="Book Antiqua" w:cs="Tahoma"/>
          <w:b/>
          <w:bCs/>
          <w:u w:val="single"/>
        </w:rPr>
        <w:t> </w:t>
      </w:r>
      <w:proofErr w:type="spellStart"/>
      <w:r w:rsidRPr="00FA47EE">
        <w:rPr>
          <w:rFonts w:ascii="Book Antiqua" w:hAnsi="Book Antiqua" w:cs="Tahoma"/>
          <w:b/>
          <w:bCs/>
          <w:i/>
          <w:iCs/>
          <w:u w:val="single"/>
        </w:rPr>
        <w:t>debeatur</w:t>
      </w:r>
      <w:proofErr w:type="spellEnd"/>
      <w:r w:rsidRPr="00FA47EE">
        <w:rPr>
          <w:rFonts w:ascii="Book Antiqua" w:hAnsi="Book Antiqua" w:cs="Tahoma"/>
          <w:b/>
          <w:bCs/>
          <w:u w:val="single"/>
        </w:rPr>
        <w:t>, todavia, após o trânsito em julgado desta decisão, na fase liquidatória constata-se que o valor devido é zero, surgiu a “teoria da liquidação zero”</w:t>
      </w:r>
      <w:r w:rsidRPr="00FA47EE">
        <w:rPr>
          <w:rFonts w:ascii="Book Antiqua" w:hAnsi="Book Antiqua" w:cs="Tahoma"/>
        </w:rPr>
        <w:t xml:space="preserve"> como meio de explicação deste intrigante fenômeno. </w:t>
      </w:r>
    </w:p>
    <w:p w14:paraId="5F6DA824" w14:textId="66455049" w:rsidR="00ED766C" w:rsidRPr="00FA47EE" w:rsidRDefault="00ED766C" w:rsidP="00ED766C">
      <w:pPr>
        <w:spacing w:before="200" w:after="200"/>
        <w:ind w:firstLine="1701"/>
        <w:jc w:val="both"/>
        <w:rPr>
          <w:rFonts w:ascii="Book Antiqua" w:hAnsi="Book Antiqua" w:cs="Tahoma"/>
        </w:rPr>
      </w:pPr>
      <w:r w:rsidRPr="00FA47EE">
        <w:rPr>
          <w:rFonts w:ascii="Book Antiqua" w:hAnsi="Book Antiqua" w:cs="Tahoma"/>
        </w:rPr>
        <w:t xml:space="preserve">Nas sintéticas palavras de </w:t>
      </w:r>
      <w:proofErr w:type="spellStart"/>
      <w:r w:rsidRPr="00FA47EE">
        <w:rPr>
          <w:rFonts w:ascii="Book Antiqua" w:hAnsi="Book Antiqua" w:cs="Tahoma"/>
        </w:rPr>
        <w:t>Fredie</w:t>
      </w:r>
      <w:proofErr w:type="spellEnd"/>
      <w:r w:rsidRPr="00FA47EE">
        <w:rPr>
          <w:rFonts w:ascii="Book Antiqua" w:hAnsi="Book Antiqua" w:cs="Tahoma"/>
        </w:rPr>
        <w:t xml:space="preserve"> Didier Jr, Leonardo José Carneiro da Cunha, Paulo Sarno Braga e Rafael Oliveira, “</w:t>
      </w:r>
      <w:r w:rsidRPr="00FA47EE">
        <w:rPr>
          <w:rFonts w:ascii="Book Antiqua" w:hAnsi="Book Antiqua" w:cs="Tahoma"/>
          <w:b/>
          <w:bCs/>
          <w:i/>
          <w:iCs/>
        </w:rPr>
        <w:t xml:space="preserve">A liquidação com dano zero ou sem resultado positivo é aquela em que se conclui que o liquidante não sofreu </w:t>
      </w:r>
      <w:proofErr w:type="spellStart"/>
      <w:r w:rsidRPr="00FA47EE">
        <w:rPr>
          <w:rFonts w:ascii="Book Antiqua" w:hAnsi="Book Antiqua" w:cs="Tahoma"/>
          <w:b/>
          <w:bCs/>
          <w:i/>
          <w:iCs/>
        </w:rPr>
        <w:t>dano</w:t>
      </w:r>
      <w:proofErr w:type="spellEnd"/>
      <w:r w:rsidRPr="00FA47EE">
        <w:rPr>
          <w:rFonts w:ascii="Book Antiqua" w:hAnsi="Book Antiqua" w:cs="Tahoma"/>
          <w:b/>
          <w:bCs/>
          <w:i/>
          <w:iCs/>
        </w:rPr>
        <w:t xml:space="preserve"> algum, isto é, o quantum </w:t>
      </w:r>
      <w:proofErr w:type="spellStart"/>
      <w:r w:rsidRPr="00FA47EE">
        <w:rPr>
          <w:rFonts w:ascii="Book Antiqua" w:hAnsi="Book Antiqua" w:cs="Tahoma"/>
          <w:b/>
          <w:bCs/>
          <w:i/>
          <w:iCs/>
        </w:rPr>
        <w:t>debeatur</w:t>
      </w:r>
      <w:proofErr w:type="spellEnd"/>
      <w:r w:rsidRPr="00FA47EE">
        <w:rPr>
          <w:rFonts w:ascii="Book Antiqua" w:hAnsi="Book Antiqua" w:cs="Tahoma"/>
          <w:b/>
          <w:bCs/>
          <w:i/>
          <w:iCs/>
        </w:rPr>
        <w:t xml:space="preserve"> é zero, o que torna inexistente o próprio </w:t>
      </w:r>
      <w:proofErr w:type="spellStart"/>
      <w:r w:rsidRPr="00FA47EE">
        <w:rPr>
          <w:rFonts w:ascii="Book Antiqua" w:hAnsi="Book Antiqua" w:cs="Tahoma"/>
          <w:b/>
          <w:bCs/>
          <w:i/>
          <w:iCs/>
        </w:rPr>
        <w:t>an</w:t>
      </w:r>
      <w:proofErr w:type="spellEnd"/>
      <w:r w:rsidRPr="00FA47EE">
        <w:rPr>
          <w:rFonts w:ascii="Book Antiqua" w:hAnsi="Book Antiqua" w:cs="Tahoma"/>
          <w:b/>
          <w:bCs/>
          <w:i/>
          <w:iCs/>
        </w:rPr>
        <w:t xml:space="preserve"> </w:t>
      </w:r>
      <w:proofErr w:type="spellStart"/>
      <w:r w:rsidRPr="00FA47EE">
        <w:rPr>
          <w:rFonts w:ascii="Book Antiqua" w:hAnsi="Book Antiqua" w:cs="Tahoma"/>
          <w:b/>
          <w:bCs/>
          <w:i/>
          <w:iCs/>
        </w:rPr>
        <w:t>debeatur</w:t>
      </w:r>
      <w:proofErr w:type="spellEnd"/>
      <w:r w:rsidRPr="00FA47EE">
        <w:rPr>
          <w:rFonts w:ascii="Book Antiqua" w:hAnsi="Book Antiqua" w:cs="Tahoma"/>
        </w:rPr>
        <w:t xml:space="preserve">” [DIDIER JR., Leonardo José Carneio da Cunha, Paulo Sarno Braga e Rafael </w:t>
      </w:r>
      <w:proofErr w:type="spellStart"/>
      <w:r w:rsidRPr="00FA47EE">
        <w:rPr>
          <w:rFonts w:ascii="Book Antiqua" w:hAnsi="Book Antiqua" w:cs="Tahoma"/>
        </w:rPr>
        <w:t>OliveiraFredie</w:t>
      </w:r>
      <w:proofErr w:type="spellEnd"/>
      <w:r w:rsidRPr="00FA47EE">
        <w:rPr>
          <w:rFonts w:ascii="Book Antiqua" w:hAnsi="Book Antiqua" w:cs="Tahoma"/>
        </w:rPr>
        <w:t>, Paula Sarno Braga, Rafael Oliviera. Curso de Direito Processual Civil</w:t>
      </w:r>
      <w:r w:rsidRPr="00FA47EE">
        <w:rPr>
          <w:rFonts w:ascii="Book Antiqua" w:hAnsi="Book Antiqua" w:cs="Tahoma"/>
          <w:b/>
          <w:bCs/>
        </w:rPr>
        <w:t>.</w:t>
      </w:r>
      <w:r w:rsidRPr="00FA47EE">
        <w:rPr>
          <w:rFonts w:ascii="Book Antiqua" w:hAnsi="Book Antiqua" w:cs="Tahoma"/>
        </w:rPr>
        <w:t xml:space="preserve"> 1</w:t>
      </w:r>
      <w:r w:rsidRPr="00FA47EE">
        <w:rPr>
          <w:rFonts w:ascii="Book Antiqua" w:hAnsi="Book Antiqua" w:cs="Tahoma"/>
          <w:vertAlign w:val="superscript"/>
        </w:rPr>
        <w:t>a</w:t>
      </w:r>
      <w:r w:rsidRPr="00FA47EE">
        <w:rPr>
          <w:rFonts w:ascii="Book Antiqua" w:hAnsi="Book Antiqua" w:cs="Tahoma"/>
        </w:rPr>
        <w:t> Edição. Editora JUSPODVM, Volume 4. Bahia. 2009, p. 139].</w:t>
      </w:r>
    </w:p>
    <w:p w14:paraId="366D7C28" w14:textId="77777777" w:rsidR="00CB7C69" w:rsidRPr="00FA47EE" w:rsidRDefault="00ED766C" w:rsidP="00ED766C">
      <w:pPr>
        <w:spacing w:before="200" w:after="200"/>
        <w:ind w:firstLine="1701"/>
        <w:jc w:val="both"/>
        <w:rPr>
          <w:rFonts w:ascii="Book Antiqua" w:hAnsi="Book Antiqua" w:cs="Tahoma"/>
        </w:rPr>
      </w:pPr>
      <w:r w:rsidRPr="00FA47EE">
        <w:rPr>
          <w:rFonts w:ascii="Book Antiqua" w:hAnsi="Book Antiqua" w:cs="Tahoma"/>
        </w:rPr>
        <w:t>Em situações como a dos autos, outrossim, ensina a doutrina que</w:t>
      </w:r>
      <w:r w:rsidR="00CB7C69" w:rsidRPr="00FA47EE">
        <w:rPr>
          <w:rFonts w:ascii="Book Antiqua" w:hAnsi="Book Antiqua" w:cs="Tahoma"/>
        </w:rPr>
        <w:t>:</w:t>
      </w:r>
    </w:p>
    <w:p w14:paraId="0BB8C442" w14:textId="78177196" w:rsidR="00ED766C" w:rsidRPr="00FA47EE" w:rsidRDefault="00ED766C" w:rsidP="00CB7C69">
      <w:pPr>
        <w:pBdr>
          <w:left w:val="single" w:sz="4" w:space="4" w:color="auto"/>
        </w:pBdr>
        <w:spacing w:before="200" w:after="200"/>
        <w:ind w:left="567"/>
        <w:jc w:val="both"/>
        <w:rPr>
          <w:rFonts w:ascii="Book Antiqua" w:hAnsi="Book Antiqua" w:cs="Tahoma"/>
          <w:sz w:val="22"/>
          <w:szCs w:val="22"/>
        </w:rPr>
      </w:pPr>
      <w:r w:rsidRPr="00FA47EE">
        <w:rPr>
          <w:rFonts w:ascii="Book Antiqua" w:hAnsi="Book Antiqua" w:cs="Tahoma"/>
          <w:sz w:val="22"/>
          <w:szCs w:val="22"/>
        </w:rPr>
        <w:t>“</w:t>
      </w:r>
      <w:r w:rsidRPr="00FA47EE">
        <w:rPr>
          <w:rFonts w:ascii="Book Antiqua" w:hAnsi="Book Antiqua" w:cs="Tahoma"/>
          <w:b/>
          <w:bCs/>
          <w:sz w:val="22"/>
          <w:szCs w:val="22"/>
          <w:u w:val="single"/>
        </w:rPr>
        <w:t>o mais razoável e realista é autorizar o juiz a concluir pelo valor zero, sendo arbitrário obrigá-lo a afirmar um valor positivo em desacordo com os elementos de convicção existentes nos autos</w:t>
      </w:r>
      <w:r w:rsidRPr="00FA47EE">
        <w:rPr>
          <w:rFonts w:ascii="Book Antiqua" w:hAnsi="Book Antiqua" w:cs="Tahoma"/>
          <w:sz w:val="22"/>
          <w:szCs w:val="22"/>
        </w:rPr>
        <w:t>; o que lhe é rigorosamente vedado é negar fatos já aceitos na sentença liquidanda ou substituir o juízo ali formulado quanto à obrigação e seus pressupostos” (DINAMARCO, Cândido Rangel in “</w:t>
      </w:r>
      <w:r w:rsidRPr="00FA47EE">
        <w:rPr>
          <w:rFonts w:ascii="Book Antiqua" w:hAnsi="Book Antiqua" w:cs="Tahoma"/>
          <w:b/>
          <w:bCs/>
          <w:sz w:val="22"/>
          <w:szCs w:val="22"/>
        </w:rPr>
        <w:t>Instituições de Direito Processual Civil</w:t>
      </w:r>
      <w:r w:rsidRPr="00FA47EE">
        <w:rPr>
          <w:rFonts w:ascii="Book Antiqua" w:hAnsi="Book Antiqua" w:cs="Tahoma"/>
          <w:sz w:val="22"/>
          <w:szCs w:val="22"/>
        </w:rPr>
        <w:t>”, 3ª Edição, Editora Malheiros, São Paulo, 2009, p. 729).</w:t>
      </w:r>
    </w:p>
    <w:p w14:paraId="4A4DC382" w14:textId="39CF6F5B" w:rsidR="00ED766C" w:rsidRPr="00FA47EE" w:rsidRDefault="00ED766C" w:rsidP="00ED766C">
      <w:pPr>
        <w:spacing w:before="200" w:after="200"/>
        <w:ind w:firstLine="1701"/>
        <w:jc w:val="both"/>
        <w:rPr>
          <w:rFonts w:ascii="Book Antiqua" w:hAnsi="Book Antiqua" w:cs="Tahoma"/>
        </w:rPr>
      </w:pPr>
      <w:r w:rsidRPr="00FA47EE">
        <w:rPr>
          <w:rFonts w:ascii="Book Antiqua" w:hAnsi="Book Antiqua" w:cs="Tahoma"/>
        </w:rPr>
        <w:t>Destarte, s</w:t>
      </w:r>
      <w:r w:rsidRPr="00FA47EE">
        <w:rPr>
          <w:rFonts w:ascii="Book Antiqua" w:hAnsi="Book Antiqua" w:cs="Tahoma"/>
          <w:color w:val="000000"/>
        </w:rPr>
        <w:t>e após a liquidação da sentença na modalidade de arbitramento o magistrado se convence da ocorrência de “</w:t>
      </w:r>
      <w:r w:rsidRPr="00FA47EE">
        <w:rPr>
          <w:rFonts w:ascii="Book Antiqua" w:hAnsi="Book Antiqua" w:cs="Tahoma"/>
          <w:b/>
          <w:bCs/>
          <w:color w:val="000000"/>
          <w:u w:val="single"/>
        </w:rPr>
        <w:t>liquidação zero</w:t>
      </w:r>
      <w:r w:rsidRPr="00FA47EE">
        <w:rPr>
          <w:rFonts w:ascii="Book Antiqua" w:hAnsi="Book Antiqua" w:cs="Tahoma"/>
          <w:color w:val="000000"/>
        </w:rPr>
        <w:t xml:space="preserve">” em razão da inexistência de diferença salarial decorrente da conversão errônea da URV, </w:t>
      </w:r>
      <w:r w:rsidRPr="00FA47EE">
        <w:rPr>
          <w:rFonts w:ascii="Book Antiqua" w:hAnsi="Book Antiqua" w:cs="Tahoma"/>
          <w:b/>
          <w:bCs/>
          <w:color w:val="000000"/>
          <w:u w:val="single"/>
        </w:rPr>
        <w:t>desnecessária a continuidade do processo, deve</w:t>
      </w:r>
      <w:r w:rsidR="00CB7C69" w:rsidRPr="00FA47EE">
        <w:rPr>
          <w:rFonts w:ascii="Book Antiqua" w:hAnsi="Book Antiqua" w:cs="Tahoma"/>
          <w:b/>
          <w:bCs/>
          <w:color w:val="000000"/>
          <w:u w:val="single"/>
        </w:rPr>
        <w:t>ndo</w:t>
      </w:r>
      <w:r w:rsidRPr="00FA47EE">
        <w:rPr>
          <w:rFonts w:ascii="Book Antiqua" w:hAnsi="Book Antiqua" w:cs="Tahoma"/>
          <w:b/>
          <w:bCs/>
          <w:color w:val="000000"/>
          <w:u w:val="single"/>
        </w:rPr>
        <w:t xml:space="preserve"> ser extint</w:t>
      </w:r>
      <w:r w:rsidRPr="00FA47EE">
        <w:rPr>
          <w:rFonts w:ascii="Book Antiqua" w:hAnsi="Book Antiqua" w:cs="Tahoma"/>
          <w:b/>
          <w:bCs/>
          <w:u w:val="single"/>
        </w:rPr>
        <w:t>a a execução</w:t>
      </w:r>
      <w:r w:rsidRPr="00FA47EE">
        <w:rPr>
          <w:rFonts w:ascii="Book Antiqua" w:hAnsi="Book Antiqua" w:cs="Tahoma"/>
          <w:color w:val="000000"/>
        </w:rPr>
        <w:t>.</w:t>
      </w:r>
    </w:p>
    <w:p w14:paraId="24524086" w14:textId="77777777" w:rsidR="00ED766C" w:rsidRPr="00FA47EE" w:rsidRDefault="00ED766C" w:rsidP="00ED766C">
      <w:pPr>
        <w:spacing w:before="200" w:after="200"/>
        <w:ind w:firstLine="1701"/>
        <w:jc w:val="both"/>
        <w:rPr>
          <w:rFonts w:ascii="Book Antiqua" w:hAnsi="Book Antiqua" w:cs="Tahoma"/>
        </w:rPr>
      </w:pPr>
      <w:r w:rsidRPr="00FA47EE">
        <w:rPr>
          <w:rFonts w:ascii="Book Antiqua" w:hAnsi="Book Antiqua" w:cs="Tahoma"/>
        </w:rPr>
        <w:t xml:space="preserve">O tema já foi apreciado e pacificado pelo TJMT, em ambas as Câmaras de Direito Público e Coletivo, </w:t>
      </w:r>
      <w:r w:rsidRPr="00FA47EE">
        <w:rPr>
          <w:rFonts w:ascii="Book Antiqua" w:hAnsi="Book Antiqua" w:cs="Tahoma"/>
          <w:i/>
          <w:iCs/>
        </w:rPr>
        <w:t>in verbis</w:t>
      </w:r>
      <w:r w:rsidRPr="00FA47EE">
        <w:rPr>
          <w:rFonts w:ascii="Book Antiqua" w:hAnsi="Book Antiqua" w:cs="Tahoma"/>
        </w:rPr>
        <w:t>:</w:t>
      </w:r>
    </w:p>
    <w:p w14:paraId="0282168C" w14:textId="5E87AA99" w:rsidR="00ED766C" w:rsidRPr="00FA47EE" w:rsidRDefault="00ED766C" w:rsidP="00ED766C">
      <w:pPr>
        <w:pBdr>
          <w:left w:val="single" w:sz="4" w:space="4" w:color="auto"/>
        </w:pBdr>
        <w:shd w:val="clear" w:color="auto" w:fill="FFFFFF"/>
        <w:spacing w:after="100" w:afterAutospacing="1"/>
        <w:ind w:left="567"/>
        <w:jc w:val="both"/>
        <w:rPr>
          <w:rFonts w:ascii="Book Antiqua" w:hAnsi="Book Antiqua"/>
          <w:spacing w:val="2"/>
          <w:sz w:val="22"/>
          <w:szCs w:val="22"/>
        </w:rPr>
      </w:pPr>
      <w:r w:rsidRPr="00FA47EE">
        <w:rPr>
          <w:rFonts w:ascii="Book Antiqua" w:hAnsi="Book Antiqua"/>
          <w:spacing w:val="2"/>
          <w:sz w:val="22"/>
          <w:szCs w:val="22"/>
        </w:rPr>
        <w:t xml:space="preserve">RECURSO DE APELAÇÃO CÍVEL – CONVERSÃO ERRÔNEA DA URV – PROCEDIMENTO DE LIQUIDAÇÃO DE SENTENÇA – LIQUIDAÇÃO ZERO – PERÍCIA CONTÁBIL REALIZADA – INOBSERVÂNCIA DA DATA DO PAGAMENTO DO SERVIDOR – ANÁLISE PONTUAL DA RECOMPOSIÇÃO SALARIAL DO SERVIDOR PELO JULGADOR – DEMONSTRAÇÃO DE INEXISTÊNCIA DE PERDA SALARIAL DECORRENTE DA CONVERSÃO DA MOEDA – AUSÊNCIA DE OFENSA À COISA JULGADA MATERIAL – FIXAÇÃO </w:t>
      </w:r>
      <w:r w:rsidRPr="00FA47EE">
        <w:rPr>
          <w:rFonts w:ascii="Book Antiqua" w:hAnsi="Book Antiqua"/>
          <w:spacing w:val="2"/>
          <w:sz w:val="22"/>
          <w:szCs w:val="22"/>
        </w:rPr>
        <w:lastRenderedPageBreak/>
        <w:t xml:space="preserve">DA VERBA ADVOCATÍCIA - DESCABIMENTO – RECURSO DESPROVIDO. Somente será devida recomposição salarial decorrente da conversão da URV se na liquidação de sentença por arbitramento estiver comprovado o recebimento do salário pelo servidor no curso do mês trabalhado; a ocorrência de efetiva diminuição no valor dos vencimentos, em virtude da desobediência ao disposto na Lei nº 8.880/1994; e, por fim, a inexistência de lei que tenha promovido a reestruturação remuneratória na carreira dos servidores.  A desconsideração de quaisquer destes critérios, a exemplo da data do pagamento do servidor, torna insubsistente a diferença salarial encontrada na perícia contábil realizada nos autos, sobremodo por contradizer a farta prova documental em sentido contrário. </w:t>
      </w:r>
      <w:r w:rsidRPr="00FA47EE">
        <w:rPr>
          <w:rFonts w:ascii="Book Antiqua" w:hAnsi="Book Antiqua"/>
          <w:b/>
          <w:bCs/>
          <w:spacing w:val="2"/>
          <w:sz w:val="22"/>
          <w:szCs w:val="22"/>
        </w:rPr>
        <w:t xml:space="preserve">Na fase de liquidação por arbitramento cabe ao perito nomeado fornecer dados técnicos considerando o decidido na sentença liquidanda e ao juiz, por sua vez, proceder à valoração desta prova em conjunto com as demais existentes nos autos, não estando, consequentemente, adstrito ao laudo pericial. </w:t>
      </w:r>
      <w:r w:rsidRPr="00FA47EE">
        <w:rPr>
          <w:rFonts w:ascii="Book Antiqua" w:hAnsi="Book Antiqua"/>
          <w:b/>
          <w:bCs/>
          <w:spacing w:val="2"/>
          <w:sz w:val="22"/>
          <w:szCs w:val="22"/>
          <w:u w:val="single"/>
        </w:rPr>
        <w:t>Se após a liquidação da sentença na modalidade de arbitramento o magistrado se convence da ocorrência de “liquidação zero” em razão da inexistência de diferença salarial decorrente da conversão errônea da URV, desnecessária a continuidade do processo, que deve ser extinto</w:t>
      </w:r>
      <w:r w:rsidRPr="00FA47EE">
        <w:rPr>
          <w:rFonts w:ascii="Book Antiqua" w:hAnsi="Book Antiqua"/>
          <w:b/>
          <w:bCs/>
          <w:spacing w:val="2"/>
          <w:sz w:val="22"/>
          <w:szCs w:val="22"/>
        </w:rPr>
        <w:t>.</w:t>
      </w:r>
      <w:r w:rsidRPr="00FA47EE">
        <w:rPr>
          <w:rFonts w:ascii="Book Antiqua" w:hAnsi="Book Antiqua"/>
          <w:spacing w:val="2"/>
          <w:sz w:val="22"/>
          <w:szCs w:val="22"/>
        </w:rPr>
        <w:t xml:space="preserve"> Inexiste ofensa à coisa julgada se, embora reconhecido o direito à correta conversão da moeda em URV na fase de conhecimento, resta comprovado, na etapa de liquidação por arbitramento, que o crédito postulado foi efetivamente recomposto pelo ente estatal. </w:t>
      </w:r>
      <w:r w:rsidRPr="00FA47EE">
        <w:rPr>
          <w:rFonts w:ascii="Book Antiqua" w:hAnsi="Book Antiqua"/>
          <w:b/>
          <w:bCs/>
          <w:spacing w:val="2"/>
          <w:sz w:val="22"/>
          <w:szCs w:val="22"/>
          <w:u w:val="single"/>
        </w:rPr>
        <w:t>À míngua de previsão no art. 85, § 1º, do CPC, descabida a pretensão de arbitramento de honorários no procedimento de liquidação de sentença. Sentença mantida. Recurso desprovido</w:t>
      </w:r>
      <w:r w:rsidRPr="00FA47EE">
        <w:rPr>
          <w:rFonts w:ascii="Book Antiqua" w:hAnsi="Book Antiqua"/>
          <w:spacing w:val="2"/>
          <w:sz w:val="22"/>
          <w:szCs w:val="22"/>
        </w:rPr>
        <w:t xml:space="preserve">. (N.U 1002708-58.2016.8.11.0003, CÂMARAS ISOLADAS CÍVEIS DE DIREITO PÚBLICO, </w:t>
      </w:r>
      <w:r w:rsidRPr="00FA47EE">
        <w:rPr>
          <w:rFonts w:ascii="Book Antiqua" w:hAnsi="Book Antiqua"/>
          <w:b/>
          <w:bCs/>
          <w:spacing w:val="2"/>
          <w:sz w:val="22"/>
          <w:szCs w:val="22"/>
        </w:rPr>
        <w:t>GILBERTO LOPES BUSSIKI</w:t>
      </w:r>
      <w:r w:rsidRPr="00FA47EE">
        <w:rPr>
          <w:rFonts w:ascii="Book Antiqua" w:hAnsi="Book Antiqua"/>
          <w:spacing w:val="2"/>
          <w:sz w:val="22"/>
          <w:szCs w:val="22"/>
        </w:rPr>
        <w:t xml:space="preserve">, </w:t>
      </w:r>
      <w:r w:rsidRPr="00FA47EE">
        <w:rPr>
          <w:rFonts w:ascii="Book Antiqua" w:hAnsi="Book Antiqua"/>
          <w:b/>
          <w:bCs/>
          <w:spacing w:val="2"/>
          <w:sz w:val="22"/>
          <w:szCs w:val="22"/>
        </w:rPr>
        <w:t>Primeira Câmara de Direito Público e Coletivo</w:t>
      </w:r>
      <w:r w:rsidRPr="00FA47EE">
        <w:rPr>
          <w:rFonts w:ascii="Book Antiqua" w:hAnsi="Book Antiqua"/>
          <w:spacing w:val="2"/>
          <w:sz w:val="22"/>
          <w:szCs w:val="22"/>
        </w:rPr>
        <w:t xml:space="preserve">, Julgado em 14/06/2022, </w:t>
      </w:r>
      <w:proofErr w:type="gramStart"/>
      <w:r w:rsidRPr="00FA47EE">
        <w:rPr>
          <w:rFonts w:ascii="Book Antiqua" w:hAnsi="Book Antiqua"/>
          <w:spacing w:val="2"/>
          <w:sz w:val="22"/>
          <w:szCs w:val="22"/>
        </w:rPr>
        <w:t>Publicado</w:t>
      </w:r>
      <w:proofErr w:type="gramEnd"/>
      <w:r w:rsidRPr="00FA47EE">
        <w:rPr>
          <w:rFonts w:ascii="Book Antiqua" w:hAnsi="Book Antiqua"/>
          <w:spacing w:val="2"/>
          <w:sz w:val="22"/>
          <w:szCs w:val="22"/>
        </w:rPr>
        <w:t xml:space="preserve"> no DJE </w:t>
      </w:r>
      <w:r w:rsidRPr="00FA47EE">
        <w:rPr>
          <w:rFonts w:ascii="Book Antiqua" w:hAnsi="Book Antiqua"/>
          <w:b/>
          <w:bCs/>
          <w:spacing w:val="2"/>
          <w:sz w:val="22"/>
          <w:szCs w:val="22"/>
        </w:rPr>
        <w:t>29/06/2022</w:t>
      </w:r>
      <w:r w:rsidRPr="00FA47EE">
        <w:rPr>
          <w:rFonts w:ascii="Book Antiqua" w:hAnsi="Book Antiqua"/>
          <w:spacing w:val="2"/>
          <w:sz w:val="22"/>
          <w:szCs w:val="22"/>
        </w:rPr>
        <w:t xml:space="preserve">). </w:t>
      </w:r>
      <w:r w:rsidRPr="00FA47EE">
        <w:rPr>
          <w:rFonts w:ascii="Book Antiqua" w:hAnsi="Book Antiqua"/>
          <w:b/>
          <w:bCs/>
          <w:spacing w:val="2"/>
          <w:sz w:val="22"/>
          <w:szCs w:val="22"/>
          <w:u w:val="single"/>
        </w:rPr>
        <w:t>No mesmo sentido</w:t>
      </w:r>
      <w:r w:rsidRPr="00FA47EE">
        <w:rPr>
          <w:rFonts w:ascii="Book Antiqua" w:hAnsi="Book Antiqua"/>
          <w:spacing w:val="2"/>
          <w:sz w:val="22"/>
          <w:szCs w:val="22"/>
        </w:rPr>
        <w:t xml:space="preserve">: (N.U 0008822-98.2014.8.11.0003, CÂMARAS ISOLADAS CÍVEIS DE DIREITO PÚBLICO, </w:t>
      </w:r>
      <w:r w:rsidRPr="00FA47EE">
        <w:rPr>
          <w:rFonts w:ascii="Book Antiqua" w:hAnsi="Book Antiqua"/>
          <w:b/>
          <w:bCs/>
          <w:spacing w:val="2"/>
          <w:sz w:val="22"/>
          <w:szCs w:val="22"/>
        </w:rPr>
        <w:t>AGAMENON ALCANTARA MORENO JUNIOR, Primeira Câmara de Direito Público e Coletivo</w:t>
      </w:r>
      <w:r w:rsidRPr="00FA47EE">
        <w:rPr>
          <w:rFonts w:ascii="Book Antiqua" w:hAnsi="Book Antiqua"/>
          <w:spacing w:val="2"/>
          <w:sz w:val="22"/>
          <w:szCs w:val="22"/>
        </w:rPr>
        <w:t xml:space="preserve">, Julgado em 15/03/2022, Publicado no DJE </w:t>
      </w:r>
      <w:r w:rsidRPr="00FA47EE">
        <w:rPr>
          <w:rFonts w:ascii="Book Antiqua" w:hAnsi="Book Antiqua"/>
          <w:b/>
          <w:bCs/>
          <w:spacing w:val="2"/>
          <w:sz w:val="22"/>
          <w:szCs w:val="22"/>
        </w:rPr>
        <w:t>30/03/2022</w:t>
      </w:r>
      <w:r w:rsidRPr="00FA47EE">
        <w:rPr>
          <w:rFonts w:ascii="Book Antiqua" w:hAnsi="Book Antiqua"/>
          <w:spacing w:val="2"/>
          <w:sz w:val="22"/>
          <w:szCs w:val="22"/>
        </w:rPr>
        <w:t xml:space="preserve">); (N.U 0014452-72.2013.8.11.0003, CÂMARAS ISOLADAS CÍVEIS DE DIREITO PÚBLICO, </w:t>
      </w:r>
      <w:r w:rsidRPr="00FA47EE">
        <w:rPr>
          <w:rFonts w:ascii="Book Antiqua" w:hAnsi="Book Antiqua"/>
          <w:b/>
          <w:bCs/>
          <w:spacing w:val="2"/>
          <w:sz w:val="22"/>
          <w:szCs w:val="22"/>
        </w:rPr>
        <w:t>HELENA MARIA BEZERRA RAMOS, Primeira Câmara de Direito Público e Coletivo</w:t>
      </w:r>
      <w:r w:rsidRPr="00FA47EE">
        <w:rPr>
          <w:rFonts w:ascii="Book Antiqua" w:hAnsi="Book Antiqua"/>
          <w:spacing w:val="2"/>
          <w:sz w:val="22"/>
          <w:szCs w:val="22"/>
        </w:rPr>
        <w:t xml:space="preserve">, Julgado em 08/02/2021, Publicado no DJE </w:t>
      </w:r>
      <w:r w:rsidRPr="00FA47EE">
        <w:rPr>
          <w:rFonts w:ascii="Book Antiqua" w:hAnsi="Book Antiqua"/>
          <w:b/>
          <w:bCs/>
          <w:spacing w:val="2"/>
          <w:sz w:val="22"/>
          <w:szCs w:val="22"/>
        </w:rPr>
        <w:t>22/02/2021</w:t>
      </w:r>
      <w:r w:rsidRPr="00FA47EE">
        <w:rPr>
          <w:rFonts w:ascii="Book Antiqua" w:hAnsi="Book Antiqua"/>
          <w:spacing w:val="2"/>
          <w:sz w:val="22"/>
          <w:szCs w:val="22"/>
        </w:rPr>
        <w:t xml:space="preserve">); (N.U 0000073-92.2014.8.11.0003, CÂMARAS ISOLADAS CÍVEIS DE DIREITO PÚBLICO, </w:t>
      </w:r>
      <w:r w:rsidRPr="00FA47EE">
        <w:rPr>
          <w:rFonts w:ascii="Book Antiqua" w:hAnsi="Book Antiqua"/>
          <w:b/>
          <w:bCs/>
          <w:spacing w:val="2"/>
          <w:sz w:val="22"/>
          <w:szCs w:val="22"/>
        </w:rPr>
        <w:t>MARIA APARECIDA RIBEIRO, Segunda Câmara de Direito Público e Coletivo</w:t>
      </w:r>
      <w:r w:rsidRPr="00FA47EE">
        <w:rPr>
          <w:rFonts w:ascii="Book Antiqua" w:hAnsi="Book Antiqua"/>
          <w:spacing w:val="2"/>
          <w:sz w:val="22"/>
          <w:szCs w:val="22"/>
        </w:rPr>
        <w:t xml:space="preserve">, Julgado em 09/06/2020, Publicado no DJE </w:t>
      </w:r>
      <w:r w:rsidRPr="00FA47EE">
        <w:rPr>
          <w:rFonts w:ascii="Book Antiqua" w:hAnsi="Book Antiqua"/>
          <w:b/>
          <w:bCs/>
          <w:spacing w:val="2"/>
          <w:sz w:val="22"/>
          <w:szCs w:val="22"/>
        </w:rPr>
        <w:t>08/07/2020</w:t>
      </w:r>
      <w:r w:rsidRPr="00FA47EE">
        <w:rPr>
          <w:rFonts w:ascii="Book Antiqua" w:hAnsi="Book Antiqua"/>
          <w:spacing w:val="2"/>
          <w:sz w:val="22"/>
          <w:szCs w:val="22"/>
        </w:rPr>
        <w:t xml:space="preserve">); (N.U 0006963-13.2015.8.11.0003, CÂMARAS ISOLADAS CÍVEIS DE DIREITO PÚBLICO, </w:t>
      </w:r>
      <w:r w:rsidRPr="00FA47EE">
        <w:rPr>
          <w:rFonts w:ascii="Book Antiqua" w:hAnsi="Book Antiqua"/>
          <w:b/>
          <w:bCs/>
          <w:spacing w:val="2"/>
          <w:sz w:val="22"/>
          <w:szCs w:val="22"/>
        </w:rPr>
        <w:t>ALEXANDRE ELIAS FILHO</w:t>
      </w:r>
      <w:r w:rsidRPr="00FA47EE">
        <w:rPr>
          <w:rFonts w:ascii="Book Antiqua" w:hAnsi="Book Antiqua"/>
          <w:spacing w:val="2"/>
          <w:sz w:val="22"/>
          <w:szCs w:val="22"/>
        </w:rPr>
        <w:t xml:space="preserve">, </w:t>
      </w:r>
      <w:r w:rsidRPr="00FA47EE">
        <w:rPr>
          <w:rFonts w:ascii="Book Antiqua" w:hAnsi="Book Antiqua"/>
          <w:b/>
          <w:bCs/>
          <w:spacing w:val="2"/>
          <w:sz w:val="22"/>
          <w:szCs w:val="22"/>
        </w:rPr>
        <w:t>Segunda Câmara de Direito Público e Coletivo</w:t>
      </w:r>
      <w:r w:rsidRPr="00FA47EE">
        <w:rPr>
          <w:rFonts w:ascii="Book Antiqua" w:hAnsi="Book Antiqua"/>
          <w:spacing w:val="2"/>
          <w:sz w:val="22"/>
          <w:szCs w:val="22"/>
        </w:rPr>
        <w:t xml:space="preserve">, Julgado em 07/12/2021, Publicado no DJE </w:t>
      </w:r>
      <w:r w:rsidRPr="00FA47EE">
        <w:rPr>
          <w:rFonts w:ascii="Book Antiqua" w:hAnsi="Book Antiqua"/>
          <w:b/>
          <w:bCs/>
          <w:spacing w:val="2"/>
          <w:sz w:val="22"/>
          <w:szCs w:val="22"/>
        </w:rPr>
        <w:t>14/12/2021</w:t>
      </w:r>
      <w:r w:rsidRPr="00FA47EE">
        <w:rPr>
          <w:rFonts w:ascii="Book Antiqua" w:hAnsi="Book Antiqua"/>
          <w:spacing w:val="2"/>
          <w:sz w:val="22"/>
          <w:szCs w:val="22"/>
        </w:rPr>
        <w:t xml:space="preserve">); (N.U 0000099-90.2014.8.11.0003, CÂMARAS ISOLADAS CÍVEIS DE DIREITO PÚBLICO, </w:t>
      </w:r>
      <w:r w:rsidRPr="00FA47EE">
        <w:rPr>
          <w:rFonts w:ascii="Book Antiqua" w:hAnsi="Book Antiqua"/>
          <w:b/>
          <w:bCs/>
          <w:spacing w:val="2"/>
          <w:sz w:val="22"/>
          <w:szCs w:val="22"/>
        </w:rPr>
        <w:t>MARIO ROBERTO KONO DE OLIVEIRA, Segunda Câmara de Direito Público e Coletivo</w:t>
      </w:r>
      <w:r w:rsidRPr="00FA47EE">
        <w:rPr>
          <w:rFonts w:ascii="Book Antiqua" w:hAnsi="Book Antiqua"/>
          <w:spacing w:val="2"/>
          <w:sz w:val="22"/>
          <w:szCs w:val="22"/>
        </w:rPr>
        <w:t xml:space="preserve">, Julgado em 24/08/2021, Publicado no DJE </w:t>
      </w:r>
      <w:r w:rsidRPr="00FA47EE">
        <w:rPr>
          <w:rFonts w:ascii="Book Antiqua" w:hAnsi="Book Antiqua"/>
          <w:b/>
          <w:bCs/>
          <w:spacing w:val="2"/>
          <w:sz w:val="22"/>
          <w:szCs w:val="22"/>
        </w:rPr>
        <w:t>08/10/2021</w:t>
      </w:r>
      <w:r w:rsidRPr="00FA47EE">
        <w:rPr>
          <w:rFonts w:ascii="Book Antiqua" w:hAnsi="Book Antiqua"/>
          <w:spacing w:val="2"/>
          <w:sz w:val="22"/>
          <w:szCs w:val="22"/>
        </w:rPr>
        <w:t>)</w:t>
      </w:r>
      <w:r w:rsidR="006B3902" w:rsidRPr="00FA47EE">
        <w:rPr>
          <w:rFonts w:ascii="Book Antiqua" w:hAnsi="Book Antiqua"/>
          <w:spacing w:val="2"/>
          <w:sz w:val="22"/>
          <w:szCs w:val="22"/>
        </w:rPr>
        <w:t>.</w:t>
      </w:r>
      <w:r w:rsidRPr="00FA47EE">
        <w:rPr>
          <w:rFonts w:ascii="Book Antiqua" w:hAnsi="Book Antiqua"/>
          <w:spacing w:val="2"/>
          <w:sz w:val="22"/>
          <w:szCs w:val="22"/>
        </w:rPr>
        <w:t xml:space="preserve"> </w:t>
      </w:r>
    </w:p>
    <w:p w14:paraId="3984595C" w14:textId="27966730" w:rsidR="000E4579" w:rsidRPr="00FA47EE" w:rsidRDefault="000E4579" w:rsidP="00AE3C95">
      <w:pPr>
        <w:spacing w:before="200" w:after="200"/>
        <w:ind w:firstLine="1701"/>
        <w:jc w:val="both"/>
        <w:rPr>
          <w:rFonts w:ascii="Book Antiqua" w:hAnsi="Book Antiqua" w:cs="Tahoma"/>
        </w:rPr>
      </w:pPr>
      <w:r w:rsidRPr="00FA47EE">
        <w:rPr>
          <w:rFonts w:ascii="Book Antiqua" w:hAnsi="Book Antiqua" w:cs="Tahoma"/>
        </w:rPr>
        <w:t>Em julgado recente, decidiu que “</w:t>
      </w:r>
      <w:r w:rsidRPr="00FA47EE">
        <w:rPr>
          <w:rFonts w:ascii="Book Antiqua" w:hAnsi="Book Antiqua" w:cs="Tahoma"/>
          <w:b/>
          <w:bCs/>
          <w:u w:val="single"/>
        </w:rPr>
        <w:t>a recomposição salarial decorrente da conversão da Unidade Real de Valor – URV, somente será devida se, na liquidação de sentença por arbitramento, estiver comprovada a existência de perda salarial, em virtude de desobediência ao disposto na Lei n.º 8.880/1994</w:t>
      </w:r>
      <w:r w:rsidRPr="00FA47EE">
        <w:rPr>
          <w:rFonts w:ascii="Book Antiqua" w:hAnsi="Book Antiqua" w:cs="Tahoma"/>
        </w:rPr>
        <w:t>”, sendo que, uma vez “</w:t>
      </w:r>
      <w:r w:rsidRPr="00FA47EE">
        <w:rPr>
          <w:rFonts w:ascii="Book Antiqua" w:hAnsi="Book Antiqua" w:cs="Tahoma"/>
          <w:b/>
          <w:bCs/>
          <w:u w:val="single"/>
        </w:rPr>
        <w:t xml:space="preserve">realizada a perícia contábil e, tendo o perito demonstrado a ausência de perda salarial decorrente da conversão de moeda, cabível a extinção do feito, ante </w:t>
      </w:r>
      <w:r w:rsidRPr="00FA47EE">
        <w:rPr>
          <w:rFonts w:ascii="Book Antiqua" w:hAnsi="Book Antiqua" w:cs="Tahoma"/>
          <w:b/>
          <w:bCs/>
          <w:u w:val="single"/>
        </w:rPr>
        <w:lastRenderedPageBreak/>
        <w:t>a ocorrência de ‘liquidação zero’”</w:t>
      </w:r>
      <w:r w:rsidRPr="00FA47EE">
        <w:rPr>
          <w:rFonts w:ascii="Book Antiqua" w:hAnsi="Book Antiqua" w:cs="Tahoma"/>
        </w:rPr>
        <w:t xml:space="preserve"> (TJ-MT – N.U. 0005914-68.2014.8.11.0003, Relator: MARIA APARECIDA FERREIRA FAGO, </w:t>
      </w:r>
      <w:r w:rsidR="00AE3C95" w:rsidRPr="00FA47EE">
        <w:rPr>
          <w:rFonts w:ascii="Book Antiqua" w:hAnsi="Book Antiqua" w:cs="Tahoma"/>
        </w:rPr>
        <w:t xml:space="preserve">Segunda Câmara de Direito Público e Coletivo, </w:t>
      </w:r>
      <w:r w:rsidRPr="00FA47EE">
        <w:rPr>
          <w:rFonts w:ascii="Book Antiqua" w:hAnsi="Book Antiqua" w:cs="Tahoma"/>
        </w:rPr>
        <w:t>Data de Julgamento: 07/02/2023, Data de Publicação: 14/03/2023)</w:t>
      </w:r>
      <w:r w:rsidR="00AE3C95" w:rsidRPr="00FA47EE">
        <w:rPr>
          <w:rFonts w:ascii="Book Antiqua" w:hAnsi="Book Antiqua" w:cs="Tahoma"/>
        </w:rPr>
        <w:t>.</w:t>
      </w:r>
    </w:p>
    <w:p w14:paraId="53A79F5F" w14:textId="3E32AF85" w:rsidR="00ED766C" w:rsidRPr="00FA47EE" w:rsidRDefault="00ED766C" w:rsidP="00ED766C">
      <w:pPr>
        <w:spacing w:before="200" w:after="200"/>
        <w:ind w:firstLine="1701"/>
        <w:jc w:val="both"/>
        <w:rPr>
          <w:rFonts w:ascii="Book Antiqua" w:hAnsi="Book Antiqua" w:cs="Tahoma"/>
        </w:rPr>
      </w:pPr>
      <w:r w:rsidRPr="00FA47EE">
        <w:rPr>
          <w:rFonts w:ascii="Book Antiqua" w:hAnsi="Book Antiqua" w:cs="Tahoma"/>
        </w:rPr>
        <w:t>Ainda, não há o que se falar em ofensa à coisa julgada se, embora reconhecido o direito à correta conversão da moeda em URV na fase de conhecimento, resta comprovado, na etapa de liquidação por arbitramento, que o crédito postulado foi efetivamente recomposto pelo ente municipal ou sequer houve valores a serem restituídos a título de recomposição salarial.</w:t>
      </w:r>
    </w:p>
    <w:p w14:paraId="6099E74A" w14:textId="5C6E9647" w:rsidR="00ED766C" w:rsidRPr="00FA47EE" w:rsidRDefault="00ED766C" w:rsidP="00ED766C">
      <w:pPr>
        <w:spacing w:before="200" w:after="200"/>
        <w:ind w:firstLine="1701"/>
        <w:jc w:val="both"/>
        <w:rPr>
          <w:rFonts w:ascii="Book Antiqua" w:hAnsi="Book Antiqua" w:cs="Tahoma"/>
        </w:rPr>
      </w:pPr>
      <w:r w:rsidRPr="00FA47EE">
        <w:rPr>
          <w:rFonts w:ascii="Book Antiqua" w:hAnsi="Book Antiqua" w:cs="Tahoma"/>
        </w:rPr>
        <w:t>Diante do expendido, a extinção da presente execução</w:t>
      </w:r>
      <w:r w:rsidR="00CB7C69" w:rsidRPr="00FA47EE">
        <w:rPr>
          <w:rFonts w:ascii="Book Antiqua" w:hAnsi="Book Antiqua" w:cs="Tahoma"/>
        </w:rPr>
        <w:t xml:space="preserve"> </w:t>
      </w:r>
      <w:r w:rsidRPr="00FA47EE">
        <w:rPr>
          <w:rFonts w:ascii="Book Antiqua" w:hAnsi="Book Antiqua" w:cs="Tahoma"/>
        </w:rPr>
        <w:t>é medida que se impõe</w:t>
      </w:r>
      <w:r w:rsidR="00CB7C69" w:rsidRPr="00FA47EE">
        <w:rPr>
          <w:rFonts w:ascii="Book Antiqua" w:hAnsi="Book Antiqua" w:cs="Tahoma"/>
        </w:rPr>
        <w:t>, devendo ser mantida a r. sentença.</w:t>
      </w:r>
    </w:p>
    <w:p w14:paraId="568F7685" w14:textId="77777777" w:rsidR="00737836" w:rsidRPr="00FA47EE" w:rsidRDefault="00737836" w:rsidP="0005575A">
      <w:pPr>
        <w:spacing w:after="240"/>
        <w:jc w:val="both"/>
        <w:textAlignment w:val="top"/>
        <w:rPr>
          <w:rFonts w:ascii="Book Antiqua" w:hAnsi="Book Antiqua" w:cs="Tahoma"/>
          <w:sz w:val="26"/>
          <w:szCs w:val="26"/>
        </w:rPr>
      </w:pPr>
    </w:p>
    <w:p w14:paraId="0A7B6D7C" w14:textId="77777777" w:rsidR="0005575A" w:rsidRPr="00FA47EE" w:rsidRDefault="0005575A" w:rsidP="0005575A">
      <w:pPr>
        <w:spacing w:after="240"/>
        <w:jc w:val="both"/>
        <w:textAlignment w:val="top"/>
        <w:rPr>
          <w:rFonts w:ascii="Book Antiqua" w:hAnsi="Book Antiqua" w:cs="Tahoma"/>
          <w:b/>
          <w:sz w:val="28"/>
          <w:szCs w:val="26"/>
          <w:u w:val="single"/>
        </w:rPr>
      </w:pPr>
      <w:r w:rsidRPr="00FA47EE">
        <w:rPr>
          <w:rFonts w:ascii="Book Antiqua" w:hAnsi="Book Antiqua" w:cs="Tahoma"/>
          <w:b/>
          <w:sz w:val="28"/>
          <w:szCs w:val="26"/>
          <w:u w:val="single"/>
        </w:rPr>
        <w:t>IV. DOS PEDIDOS</w:t>
      </w:r>
    </w:p>
    <w:p w14:paraId="205BA5C6" w14:textId="77777777" w:rsidR="00CB7C69" w:rsidRPr="00FA47EE" w:rsidRDefault="0005575A" w:rsidP="00CB7C69">
      <w:pPr>
        <w:pStyle w:val="Standard0"/>
        <w:spacing w:after="240"/>
        <w:ind w:firstLine="1701"/>
        <w:jc w:val="both"/>
        <w:rPr>
          <w:rFonts w:ascii="Book Antiqua" w:hAnsi="Book Antiqua" w:cs="Tahoma"/>
        </w:rPr>
      </w:pPr>
      <w:r w:rsidRPr="00FA47EE">
        <w:rPr>
          <w:rFonts w:ascii="Book Antiqua" w:hAnsi="Book Antiqua" w:cs="Tahoma"/>
        </w:rPr>
        <w:t xml:space="preserve">Diante do expendido, pugna o </w:t>
      </w:r>
      <w:r w:rsidRPr="00FA47EE">
        <w:rPr>
          <w:rStyle w:val="WW-Teletipo111111"/>
          <w:rFonts w:ascii="Book Antiqua" w:hAnsi="Book Antiqua" w:cs="Tahoma"/>
        </w:rPr>
        <w:t>Recorrido</w:t>
      </w:r>
      <w:r w:rsidR="00CB7C69" w:rsidRPr="00FA47EE">
        <w:rPr>
          <w:rFonts w:ascii="Book Antiqua" w:hAnsi="Book Antiqua" w:cs="Tahoma"/>
        </w:rPr>
        <w:t xml:space="preserve"> pelo conhecimento do presente Recurso de Apelação e no mérito pelo não provimento, mantendo a r. sentença em todos os seus termos.</w:t>
      </w:r>
    </w:p>
    <w:p w14:paraId="6CF76EDB" w14:textId="66DF520D" w:rsidR="0005575A" w:rsidRPr="00FA47EE" w:rsidRDefault="0005575A" w:rsidP="00CB7C69">
      <w:pPr>
        <w:pStyle w:val="Standard0"/>
        <w:spacing w:after="240"/>
        <w:ind w:firstLine="1701"/>
        <w:jc w:val="both"/>
        <w:rPr>
          <w:rStyle w:val="WW-Teletipo111111"/>
          <w:rFonts w:ascii="Book Antiqua" w:hAnsi="Book Antiqua" w:cs="Tahoma"/>
        </w:rPr>
      </w:pPr>
      <w:r w:rsidRPr="00FA47EE">
        <w:rPr>
          <w:rStyle w:val="WW-Teletipo111111"/>
          <w:rFonts w:ascii="Book Antiqua" w:hAnsi="Book Antiqua" w:cs="Tahoma"/>
        </w:rPr>
        <w:t>Nesses termos, pede-se deferimento.</w:t>
      </w:r>
    </w:p>
    <w:p w14:paraId="6B64B806" w14:textId="2564A57C" w:rsidR="0005575A" w:rsidRPr="00FA47EE" w:rsidRDefault="00CB7C69" w:rsidP="0005575A">
      <w:pPr>
        <w:pStyle w:val="Standard0"/>
        <w:spacing w:after="240"/>
        <w:ind w:firstLine="1701"/>
        <w:jc w:val="both"/>
        <w:rPr>
          <w:rStyle w:val="WW-Teletipo111111"/>
          <w:rFonts w:ascii="Book Antiqua" w:hAnsi="Book Antiqua" w:cs="Tahoma"/>
        </w:rPr>
      </w:pPr>
      <w:r w:rsidRPr="00FA47EE">
        <w:rPr>
          <w:rStyle w:val="WW-Teletipo111111"/>
          <w:rFonts w:ascii="Book Antiqua" w:hAnsi="Book Antiqua" w:cs="Tahoma"/>
        </w:rPr>
        <w:t>Campinápolis</w:t>
      </w:r>
      <w:r w:rsidR="0005575A" w:rsidRPr="00FA47EE">
        <w:rPr>
          <w:rStyle w:val="WW-Teletipo111111"/>
          <w:rFonts w:ascii="Book Antiqua" w:hAnsi="Book Antiqua" w:cs="Tahoma"/>
        </w:rPr>
        <w:t xml:space="preserve">/MT, </w:t>
      </w:r>
      <w:r w:rsidR="0005575A" w:rsidRPr="00FA47EE">
        <w:rPr>
          <w:rStyle w:val="WW-Teletipo111111"/>
          <w:rFonts w:ascii="Book Antiqua" w:hAnsi="Book Antiqua" w:cs="Tahoma"/>
          <w:i/>
          <w:iCs/>
        </w:rPr>
        <w:t>data registrada no sistema</w:t>
      </w:r>
      <w:r w:rsidR="0005575A" w:rsidRPr="00FA47EE">
        <w:rPr>
          <w:rStyle w:val="WW-Teletipo111111"/>
          <w:rFonts w:ascii="Book Antiqua" w:hAnsi="Book Antiqua" w:cs="Tahoma"/>
        </w:rPr>
        <w:t>.</w:t>
      </w:r>
    </w:p>
    <w:p w14:paraId="698B85F2" w14:textId="77777777" w:rsidR="00CB7C69" w:rsidRPr="00FA47EE" w:rsidRDefault="00CB7C69" w:rsidP="0005575A">
      <w:pPr>
        <w:pStyle w:val="Standard0"/>
        <w:spacing w:after="240"/>
        <w:ind w:firstLine="1701"/>
        <w:jc w:val="both"/>
        <w:rPr>
          <w:rFonts w:ascii="Book Antiqua" w:hAnsi="Book Antiqua" w:cs="Tahoma"/>
        </w:rPr>
      </w:pPr>
    </w:p>
    <w:p w14:paraId="057F8066" w14:textId="77777777" w:rsidR="00CB7C69" w:rsidRPr="00FA47EE" w:rsidRDefault="00CB7C69" w:rsidP="00CB7C69">
      <w:pPr>
        <w:jc w:val="center"/>
        <w:rPr>
          <w:rFonts w:ascii="Book Antiqua" w:hAnsi="Book Antiqua"/>
          <w:color w:val="000000"/>
        </w:rPr>
      </w:pPr>
      <w:r w:rsidRPr="00FA47EE">
        <w:rPr>
          <w:rStyle w:val="Forte"/>
          <w:rFonts w:ascii="Book Antiqua" w:hAnsi="Book Antiqua"/>
          <w:color w:val="000000"/>
        </w:rPr>
        <w:t>YANN DIEGGO SOUZA TIMÓTHEO DE ALMEIDA</w:t>
      </w:r>
    </w:p>
    <w:p w14:paraId="076D6B00" w14:textId="77777777" w:rsidR="00CB7C69" w:rsidRPr="00FA47EE" w:rsidRDefault="00CB7C69" w:rsidP="00CB7C69">
      <w:pPr>
        <w:jc w:val="center"/>
        <w:rPr>
          <w:rFonts w:ascii="Book Antiqua" w:hAnsi="Book Antiqua"/>
          <w:color w:val="000000"/>
        </w:rPr>
      </w:pPr>
      <w:r w:rsidRPr="00FA47EE">
        <w:rPr>
          <w:rStyle w:val="Forte"/>
          <w:rFonts w:ascii="Book Antiqua" w:hAnsi="Book Antiqua"/>
          <w:color w:val="000000"/>
        </w:rPr>
        <w:t>Advogado do Município – Matrícula n. 3596</w:t>
      </w:r>
    </w:p>
    <w:p w14:paraId="5D3B744C" w14:textId="3FF95369" w:rsidR="00911566" w:rsidRPr="00FA47EE" w:rsidRDefault="00CB7C69" w:rsidP="00CB7C69">
      <w:pPr>
        <w:jc w:val="center"/>
        <w:rPr>
          <w:rFonts w:ascii="Book Antiqua" w:hAnsi="Book Antiqua"/>
          <w:color w:val="000000"/>
        </w:rPr>
      </w:pPr>
      <w:r w:rsidRPr="00FA47EE">
        <w:rPr>
          <w:rFonts w:ascii="Book Antiqua" w:hAnsi="Book Antiqua"/>
          <w:color w:val="000000"/>
          <w:lang w:val="en-US"/>
        </w:rPr>
        <w:t>OAB/MT 12.025</w:t>
      </w:r>
    </w:p>
    <w:sectPr w:rsidR="00911566" w:rsidRPr="00FA47EE" w:rsidSect="00623E3F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064" w:right="1247" w:bottom="249" w:left="1701" w:header="323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192A" w14:textId="77777777" w:rsidR="003450C0" w:rsidRDefault="003450C0" w:rsidP="00043722">
      <w:r>
        <w:separator/>
      </w:r>
    </w:p>
  </w:endnote>
  <w:endnote w:type="continuationSeparator" w:id="0">
    <w:p w14:paraId="22E72E99" w14:textId="77777777" w:rsidR="003450C0" w:rsidRDefault="003450C0" w:rsidP="0004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4AAB" w14:textId="77777777" w:rsidR="00DF1B9E" w:rsidRDefault="00DF1B9E" w:rsidP="00DF1B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405870" w14:textId="77777777" w:rsidR="00DF1B9E" w:rsidRDefault="00DF1B9E" w:rsidP="00DF1B9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D465" w14:textId="69771595" w:rsidR="00003949" w:rsidRDefault="00A517AF" w:rsidP="00DF1B9E">
    <w:pPr>
      <w:pStyle w:val="Rodap"/>
      <w:rPr>
        <w:szCs w:val="16"/>
      </w:rPr>
    </w:pPr>
    <w:r>
      <w:rPr>
        <w:noProof/>
        <w:szCs w:val="16"/>
      </w:rPr>
      <w:drawing>
        <wp:anchor distT="0" distB="0" distL="114300" distR="114300" simplePos="0" relativeHeight="251664384" behindDoc="1" locked="0" layoutInCell="1" allowOverlap="1" wp14:anchorId="7209A107" wp14:editId="17FF7F5A">
          <wp:simplePos x="0" y="0"/>
          <wp:positionH relativeFrom="page">
            <wp:posOffset>46355</wp:posOffset>
          </wp:positionH>
          <wp:positionV relativeFrom="bottomMargin">
            <wp:posOffset>56819</wp:posOffset>
          </wp:positionV>
          <wp:extent cx="7391400" cy="696595"/>
          <wp:effectExtent l="0" t="0" r="0" b="825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69" t="-1367" r="3731" b="1367"/>
                  <a:stretch/>
                </pic:blipFill>
                <pic:spPr bwMode="auto">
                  <a:xfrm>
                    <a:off x="0" y="0"/>
                    <a:ext cx="7391400" cy="696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086B1" w14:textId="010CF43B" w:rsidR="00E6020D" w:rsidRDefault="00E6020D" w:rsidP="00DF1B9E">
    <w:pPr>
      <w:pStyle w:val="Rodap"/>
      <w:rPr>
        <w:szCs w:val="16"/>
      </w:rPr>
    </w:pPr>
  </w:p>
  <w:p w14:paraId="2DB258A8" w14:textId="0163B72E" w:rsidR="00C132FA" w:rsidRDefault="00C132FA" w:rsidP="00DF1B9E">
    <w:pPr>
      <w:pStyle w:val="Rodap"/>
      <w:rPr>
        <w:szCs w:val="16"/>
      </w:rPr>
    </w:pPr>
  </w:p>
  <w:p w14:paraId="0091B769" w14:textId="2DDE2466" w:rsidR="00C132FA" w:rsidRDefault="00C132FA" w:rsidP="00DF1B9E">
    <w:pPr>
      <w:pStyle w:val="Rodap"/>
      <w:rPr>
        <w:szCs w:val="16"/>
      </w:rPr>
    </w:pPr>
  </w:p>
  <w:p w14:paraId="1FD44618" w14:textId="118F5D65" w:rsidR="00C132FA" w:rsidRPr="00BC0CB9" w:rsidRDefault="00C132FA" w:rsidP="00C132FA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44779" w14:textId="77777777" w:rsidR="003450C0" w:rsidRDefault="003450C0" w:rsidP="00043722">
      <w:r>
        <w:separator/>
      </w:r>
    </w:p>
  </w:footnote>
  <w:footnote w:type="continuationSeparator" w:id="0">
    <w:p w14:paraId="7D3FE90E" w14:textId="77777777" w:rsidR="003450C0" w:rsidRDefault="003450C0" w:rsidP="00043722">
      <w:r>
        <w:continuationSeparator/>
      </w:r>
    </w:p>
  </w:footnote>
  <w:footnote w:id="1">
    <w:p w14:paraId="1A99C7D9" w14:textId="77777777" w:rsidR="008B6DDA" w:rsidRPr="00ED766C" w:rsidRDefault="008B6DDA" w:rsidP="00ED766C">
      <w:pPr>
        <w:jc w:val="both"/>
        <w:textAlignment w:val="top"/>
        <w:rPr>
          <w:rFonts w:ascii="Bookman Old Style" w:hAnsi="Bookman Old Style" w:cs="Tahoma"/>
          <w:bCs/>
          <w:sz w:val="20"/>
          <w:szCs w:val="20"/>
        </w:rPr>
      </w:pPr>
      <w:r w:rsidRPr="00ED766C">
        <w:rPr>
          <w:rStyle w:val="Refdenotaderodap"/>
          <w:rFonts w:ascii="Bookman Old Style" w:hAnsi="Bookman Old Style"/>
          <w:sz w:val="20"/>
          <w:szCs w:val="20"/>
        </w:rPr>
        <w:footnoteRef/>
      </w:r>
      <w:r w:rsidRPr="00ED766C">
        <w:rPr>
          <w:rFonts w:ascii="Bookman Old Style" w:hAnsi="Bookman Old Style"/>
          <w:sz w:val="20"/>
          <w:szCs w:val="20"/>
        </w:rPr>
        <w:t xml:space="preserve"> </w:t>
      </w:r>
      <w:r w:rsidRPr="00ED766C">
        <w:rPr>
          <w:rFonts w:ascii="Bookman Old Style" w:hAnsi="Bookman Old Style" w:cs="Tahoma"/>
          <w:bCs/>
          <w:sz w:val="20"/>
          <w:szCs w:val="20"/>
        </w:rPr>
        <w:t>TJ-MG - AC: 10000205502487001, Relator: José Eustáquio Lucas Pereira, 15ª CÂMARA CÍVEL, Data de Julgamento: 26/08/2021, Data de Publicação: 02/09/2021</w:t>
      </w:r>
    </w:p>
  </w:footnote>
  <w:footnote w:id="2">
    <w:p w14:paraId="18947E11" w14:textId="77777777" w:rsidR="008B6DDA" w:rsidRPr="00ED766C" w:rsidRDefault="008B6DDA" w:rsidP="00ED766C">
      <w:pPr>
        <w:jc w:val="both"/>
        <w:textAlignment w:val="top"/>
        <w:rPr>
          <w:rFonts w:ascii="Bookman Old Style" w:hAnsi="Bookman Old Style" w:cs="Tahoma"/>
          <w:bCs/>
          <w:sz w:val="20"/>
          <w:szCs w:val="20"/>
        </w:rPr>
      </w:pPr>
      <w:r w:rsidRPr="00ED766C">
        <w:rPr>
          <w:rStyle w:val="Refdenotaderodap"/>
          <w:rFonts w:ascii="Bookman Old Style" w:hAnsi="Bookman Old Style"/>
          <w:sz w:val="20"/>
          <w:szCs w:val="20"/>
        </w:rPr>
        <w:footnoteRef/>
      </w:r>
      <w:r w:rsidRPr="00ED766C">
        <w:rPr>
          <w:rFonts w:ascii="Bookman Old Style" w:hAnsi="Bookman Old Style"/>
          <w:sz w:val="20"/>
          <w:szCs w:val="20"/>
        </w:rPr>
        <w:t xml:space="preserve"> </w:t>
      </w:r>
      <w:r w:rsidRPr="00ED766C">
        <w:rPr>
          <w:rFonts w:ascii="Bookman Old Style" w:hAnsi="Bookman Old Style" w:cs="Tahoma"/>
          <w:bCs/>
          <w:sz w:val="20"/>
          <w:szCs w:val="20"/>
        </w:rPr>
        <w:t>TJ-MG - AC: 10480110174384001, Relator: Marcelo Pereira da Silva (JD Convocado), 12ª CÂMARA CÍVEL, Data de Julgamento: 23/06/2021, Data de Publicação: 25/06/2021</w:t>
      </w:r>
    </w:p>
  </w:footnote>
  <w:footnote w:id="3">
    <w:p w14:paraId="5ECE6E39" w14:textId="5A11CC63" w:rsidR="008B6DDA" w:rsidRPr="00ED766C" w:rsidRDefault="008B6DDA" w:rsidP="00ED766C">
      <w:pPr>
        <w:jc w:val="both"/>
        <w:textAlignment w:val="top"/>
        <w:rPr>
          <w:rFonts w:ascii="Bookman Old Style" w:hAnsi="Bookman Old Style" w:cs="Tahoma"/>
          <w:bCs/>
          <w:sz w:val="20"/>
          <w:szCs w:val="20"/>
        </w:rPr>
      </w:pPr>
      <w:r w:rsidRPr="00ED766C">
        <w:rPr>
          <w:rStyle w:val="Refdenotaderodap"/>
          <w:rFonts w:ascii="Bookman Old Style" w:hAnsi="Bookman Old Style"/>
          <w:sz w:val="20"/>
          <w:szCs w:val="20"/>
        </w:rPr>
        <w:footnoteRef/>
      </w:r>
      <w:r w:rsidRPr="00ED766C">
        <w:rPr>
          <w:rFonts w:ascii="Bookman Old Style" w:hAnsi="Bookman Old Style"/>
          <w:sz w:val="20"/>
          <w:szCs w:val="20"/>
        </w:rPr>
        <w:t xml:space="preserve"> </w:t>
      </w:r>
      <w:r w:rsidRPr="00E72302">
        <w:rPr>
          <w:rFonts w:ascii="Bookman Old Style" w:hAnsi="Bookman Old Style" w:cs="Tahoma"/>
          <w:bCs/>
          <w:sz w:val="20"/>
          <w:szCs w:val="20"/>
        </w:rPr>
        <w:t>TJ-GO - APL: 0002151</w:t>
      </w:r>
      <w:r w:rsidRPr="00ED766C">
        <w:rPr>
          <w:rFonts w:ascii="Bookman Old Style" w:hAnsi="Bookman Old Style" w:cs="Tahoma"/>
          <w:bCs/>
          <w:sz w:val="20"/>
          <w:szCs w:val="20"/>
        </w:rPr>
        <w:t>-</w:t>
      </w:r>
      <w:r w:rsidRPr="00E72302">
        <w:rPr>
          <w:rFonts w:ascii="Bookman Old Style" w:hAnsi="Bookman Old Style" w:cs="Tahoma"/>
          <w:bCs/>
          <w:sz w:val="20"/>
          <w:szCs w:val="20"/>
        </w:rPr>
        <w:t>83</w:t>
      </w:r>
      <w:r w:rsidRPr="00ED766C">
        <w:rPr>
          <w:rFonts w:ascii="Bookman Old Style" w:hAnsi="Bookman Old Style" w:cs="Tahoma"/>
          <w:bCs/>
          <w:sz w:val="20"/>
          <w:szCs w:val="20"/>
        </w:rPr>
        <w:t>.</w:t>
      </w:r>
      <w:r w:rsidRPr="00E72302">
        <w:rPr>
          <w:rFonts w:ascii="Bookman Old Style" w:hAnsi="Bookman Old Style" w:cs="Tahoma"/>
          <w:bCs/>
          <w:sz w:val="20"/>
          <w:szCs w:val="20"/>
        </w:rPr>
        <w:t>2015</w:t>
      </w:r>
      <w:r w:rsidRPr="00ED766C">
        <w:rPr>
          <w:rFonts w:ascii="Bookman Old Style" w:hAnsi="Bookman Old Style" w:cs="Tahoma"/>
          <w:bCs/>
          <w:sz w:val="20"/>
          <w:szCs w:val="20"/>
        </w:rPr>
        <w:t>.</w:t>
      </w:r>
      <w:r w:rsidRPr="00E72302">
        <w:rPr>
          <w:rFonts w:ascii="Bookman Old Style" w:hAnsi="Bookman Old Style" w:cs="Tahoma"/>
          <w:bCs/>
          <w:sz w:val="20"/>
          <w:szCs w:val="20"/>
        </w:rPr>
        <w:t>8</w:t>
      </w:r>
      <w:r w:rsidRPr="00ED766C">
        <w:rPr>
          <w:rFonts w:ascii="Bookman Old Style" w:hAnsi="Bookman Old Style" w:cs="Tahoma"/>
          <w:bCs/>
          <w:sz w:val="20"/>
          <w:szCs w:val="20"/>
        </w:rPr>
        <w:t>.</w:t>
      </w:r>
      <w:r w:rsidRPr="00E72302">
        <w:rPr>
          <w:rFonts w:ascii="Bookman Old Style" w:hAnsi="Bookman Old Style" w:cs="Tahoma"/>
          <w:bCs/>
          <w:sz w:val="20"/>
          <w:szCs w:val="20"/>
        </w:rPr>
        <w:t>09</w:t>
      </w:r>
      <w:r w:rsidRPr="00ED766C">
        <w:rPr>
          <w:rFonts w:ascii="Bookman Old Style" w:hAnsi="Bookman Old Style" w:cs="Tahoma"/>
          <w:bCs/>
          <w:sz w:val="20"/>
          <w:szCs w:val="20"/>
        </w:rPr>
        <w:t>.</w:t>
      </w:r>
      <w:r w:rsidRPr="00E72302">
        <w:rPr>
          <w:rFonts w:ascii="Bookman Old Style" w:hAnsi="Bookman Old Style" w:cs="Tahoma"/>
          <w:bCs/>
          <w:sz w:val="20"/>
          <w:szCs w:val="20"/>
        </w:rPr>
        <w:t>0034, Relator: SEBASTIÃO LUIZ FLEURY, 4ª Câmara Cível</w:t>
      </w:r>
      <w:r w:rsidRPr="00ED766C">
        <w:rPr>
          <w:rFonts w:ascii="Bookman Old Style" w:hAnsi="Bookman Old Style" w:cs="Tahoma"/>
          <w:bCs/>
          <w:sz w:val="20"/>
          <w:szCs w:val="20"/>
        </w:rPr>
        <w:t xml:space="preserve">, </w:t>
      </w:r>
      <w:r w:rsidRPr="00E72302">
        <w:rPr>
          <w:rFonts w:ascii="Bookman Old Style" w:hAnsi="Bookman Old Style" w:cs="Tahoma"/>
          <w:bCs/>
          <w:sz w:val="20"/>
          <w:szCs w:val="20"/>
        </w:rPr>
        <w:t>Data de Julgamento: 20/05/2019, Data de Publicação: DJ de 20/05/2019</w:t>
      </w:r>
    </w:p>
  </w:footnote>
  <w:footnote w:id="4">
    <w:p w14:paraId="5F69FE76" w14:textId="489D03EB" w:rsidR="00ED766C" w:rsidRPr="00FA47EE" w:rsidRDefault="00ED766C" w:rsidP="00ED766C">
      <w:pPr>
        <w:pStyle w:val="Textodenotaderodap"/>
        <w:jc w:val="both"/>
      </w:pPr>
      <w:r w:rsidRPr="00ED766C">
        <w:rPr>
          <w:rStyle w:val="Refdenotaderodap"/>
          <w:rFonts w:ascii="Bookman Old Style" w:hAnsi="Bookman Old Style"/>
        </w:rPr>
        <w:footnoteRef/>
      </w:r>
      <w:r w:rsidRPr="00ED766C">
        <w:rPr>
          <w:rFonts w:ascii="Bookman Old Style" w:hAnsi="Bookman Old Style"/>
        </w:rPr>
        <w:t xml:space="preserve"> </w:t>
      </w:r>
      <w:r w:rsidRPr="00FA47EE">
        <w:t>Art. 22 - Os valores das tabelas de vencimentos, soldos e salários e das tabelas de funções de confiança e gratificadas dos servidores públicos civis e militares, são convertidos em URV em 1º de março de 1994, considerando o que determinam os arts. 37, XII, e 39, § 1º, da Constituição, observado o seguinte:</w:t>
      </w:r>
    </w:p>
    <w:p w14:paraId="4226B3B0" w14:textId="4AAC26F0" w:rsidR="00ED766C" w:rsidRPr="00FA47EE" w:rsidRDefault="00ED766C" w:rsidP="00ED766C">
      <w:pPr>
        <w:pStyle w:val="Textodenotaderodap"/>
        <w:jc w:val="both"/>
      </w:pPr>
      <w:r w:rsidRPr="00FA47EE">
        <w:t xml:space="preserve">I - </w:t>
      </w:r>
      <w:proofErr w:type="gramStart"/>
      <w:r w:rsidRPr="00FA47EE">
        <w:rPr>
          <w:b/>
          <w:bCs/>
          <w:u w:val="single"/>
        </w:rPr>
        <w:t>dividindo-se</w:t>
      </w:r>
      <w:proofErr w:type="gramEnd"/>
      <w:r w:rsidRPr="00FA47EE">
        <w:rPr>
          <w:b/>
          <w:bCs/>
          <w:u w:val="single"/>
        </w:rPr>
        <w:t xml:space="preserve"> o valor nominal, vigente nos meses de novembro e dezembro de 1993 e janeiro e fevereiro de 1994, pelo valor em cruzeiros reais do equivalente em URV do último dia desses meses</w:t>
      </w:r>
      <w:r w:rsidRPr="00FA47EE">
        <w:t>, respectivamente, de acordo com o Anexo I desta Lei, independentemente da data do pagamento;</w:t>
      </w:r>
    </w:p>
    <w:p w14:paraId="5600E0C7" w14:textId="639765BB" w:rsidR="00ED766C" w:rsidRPr="00FA47EE" w:rsidRDefault="00ED766C" w:rsidP="00ED766C">
      <w:pPr>
        <w:pStyle w:val="Textodenotaderodap"/>
        <w:jc w:val="both"/>
      </w:pPr>
      <w:r w:rsidRPr="00FA47EE">
        <w:t xml:space="preserve">II - </w:t>
      </w:r>
      <w:proofErr w:type="gramStart"/>
      <w:r w:rsidRPr="00FA47EE">
        <w:rPr>
          <w:b/>
          <w:bCs/>
          <w:u w:val="single"/>
        </w:rPr>
        <w:t>extraindo-se</w:t>
      </w:r>
      <w:proofErr w:type="gramEnd"/>
      <w:r w:rsidRPr="00FA47EE">
        <w:rPr>
          <w:b/>
          <w:bCs/>
          <w:u w:val="single"/>
        </w:rPr>
        <w:t xml:space="preserve"> a média aritmética dos valores resultantes do inciso anterior</w:t>
      </w:r>
      <w:r w:rsidRPr="00FA47E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B6AA" w14:textId="77777777" w:rsidR="00DF1B9E" w:rsidRDefault="00DF1B9E" w:rsidP="00DF1B9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C937678" w14:textId="77777777" w:rsidR="00DF1B9E" w:rsidRDefault="00DF1B9E" w:rsidP="00DF1B9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95E5" w14:textId="35342E7D" w:rsidR="00DF1B9E" w:rsidRPr="00C132FA" w:rsidRDefault="004D7750" w:rsidP="00C132FA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E7D54B9" wp14:editId="5009500D">
          <wp:simplePos x="0" y="0"/>
          <wp:positionH relativeFrom="column">
            <wp:posOffset>-3810</wp:posOffset>
          </wp:positionH>
          <wp:positionV relativeFrom="paragraph">
            <wp:posOffset>4445</wp:posOffset>
          </wp:positionV>
          <wp:extent cx="5693676" cy="890018"/>
          <wp:effectExtent l="0" t="0" r="2540" b="571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3676" cy="890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30ACB"/>
    <w:multiLevelType w:val="hybridMultilevel"/>
    <w:tmpl w:val="ABFE9B92"/>
    <w:lvl w:ilvl="0" w:tplc="7A5EEFA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78BB7674"/>
    <w:multiLevelType w:val="hybridMultilevel"/>
    <w:tmpl w:val="3C865096"/>
    <w:lvl w:ilvl="0" w:tplc="A444574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7E17023A"/>
    <w:multiLevelType w:val="hybridMultilevel"/>
    <w:tmpl w:val="8E32A2FA"/>
    <w:lvl w:ilvl="0" w:tplc="17E6505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217012515">
    <w:abstractNumId w:val="2"/>
  </w:num>
  <w:num w:numId="2" w16cid:durableId="66001598">
    <w:abstractNumId w:val="0"/>
  </w:num>
  <w:num w:numId="3" w16cid:durableId="675964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18"/>
    <w:rsid w:val="00000637"/>
    <w:rsid w:val="00003949"/>
    <w:rsid w:val="000059EE"/>
    <w:rsid w:val="00005C30"/>
    <w:rsid w:val="000144A9"/>
    <w:rsid w:val="00016508"/>
    <w:rsid w:val="00017147"/>
    <w:rsid w:val="00022798"/>
    <w:rsid w:val="000265D4"/>
    <w:rsid w:val="00032DC4"/>
    <w:rsid w:val="00034F92"/>
    <w:rsid w:val="00040B3E"/>
    <w:rsid w:val="00042453"/>
    <w:rsid w:val="00043722"/>
    <w:rsid w:val="00046F5F"/>
    <w:rsid w:val="0004704E"/>
    <w:rsid w:val="00050092"/>
    <w:rsid w:val="0005554B"/>
    <w:rsid w:val="0005575A"/>
    <w:rsid w:val="0005732D"/>
    <w:rsid w:val="00063DE7"/>
    <w:rsid w:val="00064D3E"/>
    <w:rsid w:val="00064F1F"/>
    <w:rsid w:val="00067994"/>
    <w:rsid w:val="000776B8"/>
    <w:rsid w:val="000823D6"/>
    <w:rsid w:val="00083422"/>
    <w:rsid w:val="00084C0E"/>
    <w:rsid w:val="000855C0"/>
    <w:rsid w:val="0008767F"/>
    <w:rsid w:val="0009073F"/>
    <w:rsid w:val="000A2838"/>
    <w:rsid w:val="000C01B7"/>
    <w:rsid w:val="000D02AC"/>
    <w:rsid w:val="000D2825"/>
    <w:rsid w:val="000D2D63"/>
    <w:rsid w:val="000D63D8"/>
    <w:rsid w:val="000E365A"/>
    <w:rsid w:val="000E4579"/>
    <w:rsid w:val="000E4E7C"/>
    <w:rsid w:val="000F2CBE"/>
    <w:rsid w:val="000F5AD4"/>
    <w:rsid w:val="00100305"/>
    <w:rsid w:val="001029A7"/>
    <w:rsid w:val="001065B4"/>
    <w:rsid w:val="00120DF7"/>
    <w:rsid w:val="00123FFB"/>
    <w:rsid w:val="001310F0"/>
    <w:rsid w:val="00131362"/>
    <w:rsid w:val="001338A3"/>
    <w:rsid w:val="00135C0E"/>
    <w:rsid w:val="00136B01"/>
    <w:rsid w:val="00136E87"/>
    <w:rsid w:val="00136F71"/>
    <w:rsid w:val="00150ED9"/>
    <w:rsid w:val="00151FD6"/>
    <w:rsid w:val="001541F6"/>
    <w:rsid w:val="001609EA"/>
    <w:rsid w:val="00162D68"/>
    <w:rsid w:val="00167085"/>
    <w:rsid w:val="00181A54"/>
    <w:rsid w:val="00182916"/>
    <w:rsid w:val="00190FC8"/>
    <w:rsid w:val="001A272E"/>
    <w:rsid w:val="001A59BA"/>
    <w:rsid w:val="001A680B"/>
    <w:rsid w:val="001A6EA2"/>
    <w:rsid w:val="001A7EC8"/>
    <w:rsid w:val="001B4F34"/>
    <w:rsid w:val="001B5A45"/>
    <w:rsid w:val="001B6E73"/>
    <w:rsid w:val="001B73DB"/>
    <w:rsid w:val="001C0079"/>
    <w:rsid w:val="001C01F3"/>
    <w:rsid w:val="001D5B31"/>
    <w:rsid w:val="001E1C68"/>
    <w:rsid w:val="001E23DA"/>
    <w:rsid w:val="001E5EB8"/>
    <w:rsid w:val="001E614F"/>
    <w:rsid w:val="001E6224"/>
    <w:rsid w:val="001F1F37"/>
    <w:rsid w:val="001F39BC"/>
    <w:rsid w:val="001F427B"/>
    <w:rsid w:val="002068A6"/>
    <w:rsid w:val="0020722A"/>
    <w:rsid w:val="002111A9"/>
    <w:rsid w:val="00220A66"/>
    <w:rsid w:val="00222129"/>
    <w:rsid w:val="002262B1"/>
    <w:rsid w:val="002262D6"/>
    <w:rsid w:val="00226C86"/>
    <w:rsid w:val="0023069A"/>
    <w:rsid w:val="0024610A"/>
    <w:rsid w:val="00256454"/>
    <w:rsid w:val="002637DD"/>
    <w:rsid w:val="00264FB8"/>
    <w:rsid w:val="002657A0"/>
    <w:rsid w:val="00270A0B"/>
    <w:rsid w:val="00273028"/>
    <w:rsid w:val="00276DEF"/>
    <w:rsid w:val="00277167"/>
    <w:rsid w:val="00277AF3"/>
    <w:rsid w:val="00277F57"/>
    <w:rsid w:val="002815D0"/>
    <w:rsid w:val="00287883"/>
    <w:rsid w:val="00292985"/>
    <w:rsid w:val="00292C5C"/>
    <w:rsid w:val="002A04F5"/>
    <w:rsid w:val="002A2C2C"/>
    <w:rsid w:val="002A3408"/>
    <w:rsid w:val="002A4D2F"/>
    <w:rsid w:val="002A50FA"/>
    <w:rsid w:val="002A57D6"/>
    <w:rsid w:val="002B1E4D"/>
    <w:rsid w:val="002B6B4E"/>
    <w:rsid w:val="002C24FA"/>
    <w:rsid w:val="002D074A"/>
    <w:rsid w:val="002D62D2"/>
    <w:rsid w:val="002D7E2F"/>
    <w:rsid w:val="002E0679"/>
    <w:rsid w:val="002E1EEC"/>
    <w:rsid w:val="002E2603"/>
    <w:rsid w:val="002E2BE3"/>
    <w:rsid w:val="002E54F1"/>
    <w:rsid w:val="002F030F"/>
    <w:rsid w:val="002F52DC"/>
    <w:rsid w:val="00305EB5"/>
    <w:rsid w:val="003241B1"/>
    <w:rsid w:val="003265DF"/>
    <w:rsid w:val="00331C12"/>
    <w:rsid w:val="00332D7B"/>
    <w:rsid w:val="00335396"/>
    <w:rsid w:val="00340332"/>
    <w:rsid w:val="00341ADA"/>
    <w:rsid w:val="003450C0"/>
    <w:rsid w:val="003471D0"/>
    <w:rsid w:val="003629FB"/>
    <w:rsid w:val="00366EF1"/>
    <w:rsid w:val="00370334"/>
    <w:rsid w:val="00376E5C"/>
    <w:rsid w:val="00380FC7"/>
    <w:rsid w:val="00382F9A"/>
    <w:rsid w:val="0038755C"/>
    <w:rsid w:val="003878C0"/>
    <w:rsid w:val="0038792C"/>
    <w:rsid w:val="003A3D3C"/>
    <w:rsid w:val="003A5806"/>
    <w:rsid w:val="003A5D84"/>
    <w:rsid w:val="003A7818"/>
    <w:rsid w:val="003B61DF"/>
    <w:rsid w:val="003C16FD"/>
    <w:rsid w:val="003C556A"/>
    <w:rsid w:val="003C5A48"/>
    <w:rsid w:val="003D02F6"/>
    <w:rsid w:val="003D380E"/>
    <w:rsid w:val="003D4C54"/>
    <w:rsid w:val="003E4D23"/>
    <w:rsid w:val="003E4F31"/>
    <w:rsid w:val="003E6D2A"/>
    <w:rsid w:val="003F5478"/>
    <w:rsid w:val="00406379"/>
    <w:rsid w:val="00406ABD"/>
    <w:rsid w:val="0041508B"/>
    <w:rsid w:val="0041583F"/>
    <w:rsid w:val="0041585C"/>
    <w:rsid w:val="00420AA1"/>
    <w:rsid w:val="004213B6"/>
    <w:rsid w:val="00426B7B"/>
    <w:rsid w:val="00427B2E"/>
    <w:rsid w:val="00431B7D"/>
    <w:rsid w:val="004444AB"/>
    <w:rsid w:val="00453117"/>
    <w:rsid w:val="00457C20"/>
    <w:rsid w:val="00462785"/>
    <w:rsid w:val="00465764"/>
    <w:rsid w:val="004732DF"/>
    <w:rsid w:val="00474166"/>
    <w:rsid w:val="00474DE9"/>
    <w:rsid w:val="00474FBF"/>
    <w:rsid w:val="00477915"/>
    <w:rsid w:val="00477AB5"/>
    <w:rsid w:val="00487355"/>
    <w:rsid w:val="00493E04"/>
    <w:rsid w:val="004969F1"/>
    <w:rsid w:val="004A0656"/>
    <w:rsid w:val="004A2224"/>
    <w:rsid w:val="004A34CC"/>
    <w:rsid w:val="004A48E9"/>
    <w:rsid w:val="004B20C4"/>
    <w:rsid w:val="004C13AD"/>
    <w:rsid w:val="004C1EF7"/>
    <w:rsid w:val="004C1F1E"/>
    <w:rsid w:val="004C3F65"/>
    <w:rsid w:val="004D0DEB"/>
    <w:rsid w:val="004D18A7"/>
    <w:rsid w:val="004D2F4C"/>
    <w:rsid w:val="004D33AB"/>
    <w:rsid w:val="004D59A4"/>
    <w:rsid w:val="004D7750"/>
    <w:rsid w:val="004E5AB4"/>
    <w:rsid w:val="004E700F"/>
    <w:rsid w:val="004F2254"/>
    <w:rsid w:val="00501A70"/>
    <w:rsid w:val="00504D1B"/>
    <w:rsid w:val="00505831"/>
    <w:rsid w:val="0050663C"/>
    <w:rsid w:val="00506C81"/>
    <w:rsid w:val="00510BCE"/>
    <w:rsid w:val="00510D2B"/>
    <w:rsid w:val="00521146"/>
    <w:rsid w:val="00524590"/>
    <w:rsid w:val="00524FD6"/>
    <w:rsid w:val="0054042F"/>
    <w:rsid w:val="00545352"/>
    <w:rsid w:val="00550D2C"/>
    <w:rsid w:val="00553F44"/>
    <w:rsid w:val="00561F1C"/>
    <w:rsid w:val="005620B7"/>
    <w:rsid w:val="00567215"/>
    <w:rsid w:val="00573F51"/>
    <w:rsid w:val="00580085"/>
    <w:rsid w:val="0058035B"/>
    <w:rsid w:val="005809E9"/>
    <w:rsid w:val="00581E9C"/>
    <w:rsid w:val="0058386C"/>
    <w:rsid w:val="00583EA1"/>
    <w:rsid w:val="00591B40"/>
    <w:rsid w:val="0059323D"/>
    <w:rsid w:val="00595F8F"/>
    <w:rsid w:val="00595FB7"/>
    <w:rsid w:val="005A0B66"/>
    <w:rsid w:val="005A5E86"/>
    <w:rsid w:val="005B5E03"/>
    <w:rsid w:val="005B6A43"/>
    <w:rsid w:val="005C0C72"/>
    <w:rsid w:val="005C2AEF"/>
    <w:rsid w:val="005C6158"/>
    <w:rsid w:val="005C6176"/>
    <w:rsid w:val="005C7D1B"/>
    <w:rsid w:val="005D0FC9"/>
    <w:rsid w:val="005D4F43"/>
    <w:rsid w:val="005E317D"/>
    <w:rsid w:val="005E4A9F"/>
    <w:rsid w:val="005E7CCA"/>
    <w:rsid w:val="005F49EB"/>
    <w:rsid w:val="005F69C9"/>
    <w:rsid w:val="005F735C"/>
    <w:rsid w:val="005F7B6C"/>
    <w:rsid w:val="00605051"/>
    <w:rsid w:val="006059C8"/>
    <w:rsid w:val="0061073D"/>
    <w:rsid w:val="006126C0"/>
    <w:rsid w:val="00623E3F"/>
    <w:rsid w:val="006248C4"/>
    <w:rsid w:val="006276D6"/>
    <w:rsid w:val="00627C4E"/>
    <w:rsid w:val="006305C2"/>
    <w:rsid w:val="0064220A"/>
    <w:rsid w:val="006516AB"/>
    <w:rsid w:val="006536F7"/>
    <w:rsid w:val="00662AA4"/>
    <w:rsid w:val="006649DC"/>
    <w:rsid w:val="006744C9"/>
    <w:rsid w:val="00675E47"/>
    <w:rsid w:val="00682328"/>
    <w:rsid w:val="00683E9D"/>
    <w:rsid w:val="00685E1B"/>
    <w:rsid w:val="00686784"/>
    <w:rsid w:val="0068734F"/>
    <w:rsid w:val="006918B5"/>
    <w:rsid w:val="0069387A"/>
    <w:rsid w:val="00697655"/>
    <w:rsid w:val="006A23BD"/>
    <w:rsid w:val="006A26EF"/>
    <w:rsid w:val="006A2C8E"/>
    <w:rsid w:val="006A4EEB"/>
    <w:rsid w:val="006A4F1D"/>
    <w:rsid w:val="006B22A3"/>
    <w:rsid w:val="006B2C93"/>
    <w:rsid w:val="006B3902"/>
    <w:rsid w:val="006B63CC"/>
    <w:rsid w:val="006B6527"/>
    <w:rsid w:val="006C6251"/>
    <w:rsid w:val="006C6817"/>
    <w:rsid w:val="006C7B30"/>
    <w:rsid w:val="006D0981"/>
    <w:rsid w:val="006D44C1"/>
    <w:rsid w:val="006D4DBA"/>
    <w:rsid w:val="006E3271"/>
    <w:rsid w:val="006E5999"/>
    <w:rsid w:val="006E5EFA"/>
    <w:rsid w:val="006F5E21"/>
    <w:rsid w:val="00715D0F"/>
    <w:rsid w:val="00717620"/>
    <w:rsid w:val="007205C6"/>
    <w:rsid w:val="007213D6"/>
    <w:rsid w:val="0072295B"/>
    <w:rsid w:val="007319CD"/>
    <w:rsid w:val="00734539"/>
    <w:rsid w:val="00737836"/>
    <w:rsid w:val="00744030"/>
    <w:rsid w:val="007505C5"/>
    <w:rsid w:val="00752A87"/>
    <w:rsid w:val="00753C5D"/>
    <w:rsid w:val="00756320"/>
    <w:rsid w:val="00764897"/>
    <w:rsid w:val="00770367"/>
    <w:rsid w:val="00770540"/>
    <w:rsid w:val="00772CB2"/>
    <w:rsid w:val="00774186"/>
    <w:rsid w:val="00775F62"/>
    <w:rsid w:val="00780BFD"/>
    <w:rsid w:val="00783D5A"/>
    <w:rsid w:val="0079243B"/>
    <w:rsid w:val="0079261A"/>
    <w:rsid w:val="007964BA"/>
    <w:rsid w:val="007A2EDC"/>
    <w:rsid w:val="007A540B"/>
    <w:rsid w:val="007A6817"/>
    <w:rsid w:val="007A7CE6"/>
    <w:rsid w:val="007A7DDB"/>
    <w:rsid w:val="007A7F14"/>
    <w:rsid w:val="007B56F6"/>
    <w:rsid w:val="007B7B99"/>
    <w:rsid w:val="007C05FC"/>
    <w:rsid w:val="007C2DCE"/>
    <w:rsid w:val="007C3145"/>
    <w:rsid w:val="007C3F23"/>
    <w:rsid w:val="007C4AD9"/>
    <w:rsid w:val="007C610F"/>
    <w:rsid w:val="007D33FE"/>
    <w:rsid w:val="007D3E59"/>
    <w:rsid w:val="007D5FB8"/>
    <w:rsid w:val="007E07E0"/>
    <w:rsid w:val="007E123A"/>
    <w:rsid w:val="007E1720"/>
    <w:rsid w:val="007E291A"/>
    <w:rsid w:val="007F7FA5"/>
    <w:rsid w:val="008001A9"/>
    <w:rsid w:val="00802C6D"/>
    <w:rsid w:val="008132AB"/>
    <w:rsid w:val="008217C7"/>
    <w:rsid w:val="00822A2D"/>
    <w:rsid w:val="00823CA8"/>
    <w:rsid w:val="00834245"/>
    <w:rsid w:val="0083672F"/>
    <w:rsid w:val="00836F09"/>
    <w:rsid w:val="00840B38"/>
    <w:rsid w:val="008476E0"/>
    <w:rsid w:val="00847AB2"/>
    <w:rsid w:val="008531D2"/>
    <w:rsid w:val="00855161"/>
    <w:rsid w:val="00856831"/>
    <w:rsid w:val="008571A7"/>
    <w:rsid w:val="0086466B"/>
    <w:rsid w:val="0086484D"/>
    <w:rsid w:val="0086534B"/>
    <w:rsid w:val="0086535A"/>
    <w:rsid w:val="00873AC3"/>
    <w:rsid w:val="00874D80"/>
    <w:rsid w:val="0087514F"/>
    <w:rsid w:val="00877368"/>
    <w:rsid w:val="008805C0"/>
    <w:rsid w:val="008858A0"/>
    <w:rsid w:val="008908C8"/>
    <w:rsid w:val="00892203"/>
    <w:rsid w:val="00894F53"/>
    <w:rsid w:val="008A17C0"/>
    <w:rsid w:val="008A222A"/>
    <w:rsid w:val="008A77F5"/>
    <w:rsid w:val="008A7FFA"/>
    <w:rsid w:val="008B6DDA"/>
    <w:rsid w:val="008B70AE"/>
    <w:rsid w:val="008B76F7"/>
    <w:rsid w:val="008C1147"/>
    <w:rsid w:val="008C3B13"/>
    <w:rsid w:val="008C60CC"/>
    <w:rsid w:val="008C6B5C"/>
    <w:rsid w:val="008C7ECA"/>
    <w:rsid w:val="008D02D6"/>
    <w:rsid w:val="008D218C"/>
    <w:rsid w:val="008D269C"/>
    <w:rsid w:val="008E1DA1"/>
    <w:rsid w:val="008F61E3"/>
    <w:rsid w:val="00904427"/>
    <w:rsid w:val="00905C2A"/>
    <w:rsid w:val="00911566"/>
    <w:rsid w:val="00915174"/>
    <w:rsid w:val="00917236"/>
    <w:rsid w:val="00920301"/>
    <w:rsid w:val="00920E09"/>
    <w:rsid w:val="00923787"/>
    <w:rsid w:val="009306CB"/>
    <w:rsid w:val="00934694"/>
    <w:rsid w:val="0093656A"/>
    <w:rsid w:val="00940F53"/>
    <w:rsid w:val="009427F3"/>
    <w:rsid w:val="00943EF7"/>
    <w:rsid w:val="00947E46"/>
    <w:rsid w:val="00953035"/>
    <w:rsid w:val="00961A8F"/>
    <w:rsid w:val="0096258B"/>
    <w:rsid w:val="0096484A"/>
    <w:rsid w:val="009675E0"/>
    <w:rsid w:val="00970527"/>
    <w:rsid w:val="00975B13"/>
    <w:rsid w:val="009776D0"/>
    <w:rsid w:val="009816E7"/>
    <w:rsid w:val="00985148"/>
    <w:rsid w:val="00985937"/>
    <w:rsid w:val="00985A08"/>
    <w:rsid w:val="00986D1F"/>
    <w:rsid w:val="00991304"/>
    <w:rsid w:val="0099222F"/>
    <w:rsid w:val="0099750E"/>
    <w:rsid w:val="009A057D"/>
    <w:rsid w:val="009A07A5"/>
    <w:rsid w:val="009A0B38"/>
    <w:rsid w:val="009A2647"/>
    <w:rsid w:val="009A3572"/>
    <w:rsid w:val="009A40D8"/>
    <w:rsid w:val="009B0D40"/>
    <w:rsid w:val="009B2780"/>
    <w:rsid w:val="009C1ED3"/>
    <w:rsid w:val="009D1036"/>
    <w:rsid w:val="009D3EBE"/>
    <w:rsid w:val="009D3FA2"/>
    <w:rsid w:val="009D62C4"/>
    <w:rsid w:val="009E0D57"/>
    <w:rsid w:val="009E2409"/>
    <w:rsid w:val="009F13CF"/>
    <w:rsid w:val="009F1C77"/>
    <w:rsid w:val="009F211D"/>
    <w:rsid w:val="009F2E9D"/>
    <w:rsid w:val="009F31E6"/>
    <w:rsid w:val="009F4916"/>
    <w:rsid w:val="009F6290"/>
    <w:rsid w:val="00A01913"/>
    <w:rsid w:val="00A03EC0"/>
    <w:rsid w:val="00A112A1"/>
    <w:rsid w:val="00A121C8"/>
    <w:rsid w:val="00A146BF"/>
    <w:rsid w:val="00A15021"/>
    <w:rsid w:val="00A15609"/>
    <w:rsid w:val="00A15892"/>
    <w:rsid w:val="00A16441"/>
    <w:rsid w:val="00A305E4"/>
    <w:rsid w:val="00A35B18"/>
    <w:rsid w:val="00A40BB3"/>
    <w:rsid w:val="00A42C0D"/>
    <w:rsid w:val="00A43A95"/>
    <w:rsid w:val="00A43C5E"/>
    <w:rsid w:val="00A43CE5"/>
    <w:rsid w:val="00A45616"/>
    <w:rsid w:val="00A477BD"/>
    <w:rsid w:val="00A5030F"/>
    <w:rsid w:val="00A517AF"/>
    <w:rsid w:val="00A55745"/>
    <w:rsid w:val="00A601D0"/>
    <w:rsid w:val="00A60B50"/>
    <w:rsid w:val="00A619D5"/>
    <w:rsid w:val="00A62B79"/>
    <w:rsid w:val="00A64D96"/>
    <w:rsid w:val="00A666A3"/>
    <w:rsid w:val="00A71CBA"/>
    <w:rsid w:val="00A73399"/>
    <w:rsid w:val="00A750F2"/>
    <w:rsid w:val="00A80D61"/>
    <w:rsid w:val="00A81483"/>
    <w:rsid w:val="00A859C5"/>
    <w:rsid w:val="00A9077E"/>
    <w:rsid w:val="00AA3FB9"/>
    <w:rsid w:val="00AB1DFE"/>
    <w:rsid w:val="00AB1E9E"/>
    <w:rsid w:val="00AB41EC"/>
    <w:rsid w:val="00AB79DC"/>
    <w:rsid w:val="00AB7F00"/>
    <w:rsid w:val="00AC0952"/>
    <w:rsid w:val="00AC788A"/>
    <w:rsid w:val="00AE3C95"/>
    <w:rsid w:val="00AF0045"/>
    <w:rsid w:val="00AF234A"/>
    <w:rsid w:val="00AF4696"/>
    <w:rsid w:val="00AF4E89"/>
    <w:rsid w:val="00B002EA"/>
    <w:rsid w:val="00B07604"/>
    <w:rsid w:val="00B10040"/>
    <w:rsid w:val="00B118DF"/>
    <w:rsid w:val="00B14E78"/>
    <w:rsid w:val="00B2093D"/>
    <w:rsid w:val="00B228B3"/>
    <w:rsid w:val="00B278C6"/>
    <w:rsid w:val="00B27B1E"/>
    <w:rsid w:val="00B302FF"/>
    <w:rsid w:val="00B341C2"/>
    <w:rsid w:val="00B373DC"/>
    <w:rsid w:val="00B420A7"/>
    <w:rsid w:val="00B42439"/>
    <w:rsid w:val="00B5147D"/>
    <w:rsid w:val="00B525C3"/>
    <w:rsid w:val="00B54F18"/>
    <w:rsid w:val="00B56F68"/>
    <w:rsid w:val="00B602AC"/>
    <w:rsid w:val="00B60A76"/>
    <w:rsid w:val="00B62064"/>
    <w:rsid w:val="00B70A53"/>
    <w:rsid w:val="00B72719"/>
    <w:rsid w:val="00B7729D"/>
    <w:rsid w:val="00B82B49"/>
    <w:rsid w:val="00B86AAC"/>
    <w:rsid w:val="00B92A24"/>
    <w:rsid w:val="00B930DF"/>
    <w:rsid w:val="00B95F4F"/>
    <w:rsid w:val="00BA3011"/>
    <w:rsid w:val="00BA787F"/>
    <w:rsid w:val="00BB23B6"/>
    <w:rsid w:val="00BB2F3E"/>
    <w:rsid w:val="00BB32F6"/>
    <w:rsid w:val="00BB7100"/>
    <w:rsid w:val="00BC1779"/>
    <w:rsid w:val="00BC5D5C"/>
    <w:rsid w:val="00BD1C41"/>
    <w:rsid w:val="00BD28A0"/>
    <w:rsid w:val="00BD2CE9"/>
    <w:rsid w:val="00BE4DEE"/>
    <w:rsid w:val="00BE55D6"/>
    <w:rsid w:val="00BE56FC"/>
    <w:rsid w:val="00BF2296"/>
    <w:rsid w:val="00BF370D"/>
    <w:rsid w:val="00C01B77"/>
    <w:rsid w:val="00C05774"/>
    <w:rsid w:val="00C06505"/>
    <w:rsid w:val="00C078CD"/>
    <w:rsid w:val="00C12E46"/>
    <w:rsid w:val="00C132FA"/>
    <w:rsid w:val="00C16495"/>
    <w:rsid w:val="00C30DCA"/>
    <w:rsid w:val="00C311DC"/>
    <w:rsid w:val="00C32BB8"/>
    <w:rsid w:val="00C3448F"/>
    <w:rsid w:val="00C37231"/>
    <w:rsid w:val="00C37C2E"/>
    <w:rsid w:val="00C41B49"/>
    <w:rsid w:val="00C46792"/>
    <w:rsid w:val="00C467F0"/>
    <w:rsid w:val="00C52D9E"/>
    <w:rsid w:val="00C5444C"/>
    <w:rsid w:val="00C70555"/>
    <w:rsid w:val="00C70D61"/>
    <w:rsid w:val="00C75C7D"/>
    <w:rsid w:val="00C768FB"/>
    <w:rsid w:val="00CA214F"/>
    <w:rsid w:val="00CA42F6"/>
    <w:rsid w:val="00CA583D"/>
    <w:rsid w:val="00CA5DDE"/>
    <w:rsid w:val="00CA7A45"/>
    <w:rsid w:val="00CB3D9C"/>
    <w:rsid w:val="00CB710E"/>
    <w:rsid w:val="00CB7916"/>
    <w:rsid w:val="00CB7C69"/>
    <w:rsid w:val="00CC66C2"/>
    <w:rsid w:val="00CC6CAF"/>
    <w:rsid w:val="00CD1257"/>
    <w:rsid w:val="00CD2513"/>
    <w:rsid w:val="00CE0BF6"/>
    <w:rsid w:val="00CE763A"/>
    <w:rsid w:val="00CF2D02"/>
    <w:rsid w:val="00D016D1"/>
    <w:rsid w:val="00D07AB2"/>
    <w:rsid w:val="00D13CEA"/>
    <w:rsid w:val="00D14EB1"/>
    <w:rsid w:val="00D14FF0"/>
    <w:rsid w:val="00D24853"/>
    <w:rsid w:val="00D27011"/>
    <w:rsid w:val="00D328EE"/>
    <w:rsid w:val="00D41C9E"/>
    <w:rsid w:val="00D442CF"/>
    <w:rsid w:val="00D50046"/>
    <w:rsid w:val="00D53ECB"/>
    <w:rsid w:val="00D56E50"/>
    <w:rsid w:val="00D710C8"/>
    <w:rsid w:val="00D72348"/>
    <w:rsid w:val="00D7504D"/>
    <w:rsid w:val="00D76E14"/>
    <w:rsid w:val="00D831AC"/>
    <w:rsid w:val="00D91170"/>
    <w:rsid w:val="00D92CA0"/>
    <w:rsid w:val="00D9505F"/>
    <w:rsid w:val="00D95468"/>
    <w:rsid w:val="00D96B61"/>
    <w:rsid w:val="00DA2DEF"/>
    <w:rsid w:val="00DA2FEB"/>
    <w:rsid w:val="00DB2050"/>
    <w:rsid w:val="00DB3F9B"/>
    <w:rsid w:val="00DB757C"/>
    <w:rsid w:val="00DC7BB1"/>
    <w:rsid w:val="00DD26C5"/>
    <w:rsid w:val="00DD36E5"/>
    <w:rsid w:val="00DD4FFA"/>
    <w:rsid w:val="00DD500E"/>
    <w:rsid w:val="00DE0B34"/>
    <w:rsid w:val="00DF00EF"/>
    <w:rsid w:val="00DF10FE"/>
    <w:rsid w:val="00DF1B9E"/>
    <w:rsid w:val="00DF62C7"/>
    <w:rsid w:val="00E00A43"/>
    <w:rsid w:val="00E14CFE"/>
    <w:rsid w:val="00E15618"/>
    <w:rsid w:val="00E2241C"/>
    <w:rsid w:val="00E254DD"/>
    <w:rsid w:val="00E34B9E"/>
    <w:rsid w:val="00E40550"/>
    <w:rsid w:val="00E45F87"/>
    <w:rsid w:val="00E5112E"/>
    <w:rsid w:val="00E6020D"/>
    <w:rsid w:val="00E60325"/>
    <w:rsid w:val="00E62B85"/>
    <w:rsid w:val="00E65049"/>
    <w:rsid w:val="00E702C7"/>
    <w:rsid w:val="00E71685"/>
    <w:rsid w:val="00E72922"/>
    <w:rsid w:val="00E73883"/>
    <w:rsid w:val="00E77B9C"/>
    <w:rsid w:val="00E907A7"/>
    <w:rsid w:val="00E92AB3"/>
    <w:rsid w:val="00E949ED"/>
    <w:rsid w:val="00E964F0"/>
    <w:rsid w:val="00E965E2"/>
    <w:rsid w:val="00E96E22"/>
    <w:rsid w:val="00EA27D5"/>
    <w:rsid w:val="00EA303E"/>
    <w:rsid w:val="00EA4982"/>
    <w:rsid w:val="00EA5813"/>
    <w:rsid w:val="00EB2533"/>
    <w:rsid w:val="00EB569B"/>
    <w:rsid w:val="00EB5FBC"/>
    <w:rsid w:val="00EC347A"/>
    <w:rsid w:val="00EC3BAE"/>
    <w:rsid w:val="00EC6F09"/>
    <w:rsid w:val="00ED3133"/>
    <w:rsid w:val="00ED38A5"/>
    <w:rsid w:val="00ED40DB"/>
    <w:rsid w:val="00ED766C"/>
    <w:rsid w:val="00EE25A0"/>
    <w:rsid w:val="00EE67F7"/>
    <w:rsid w:val="00EF6C37"/>
    <w:rsid w:val="00F01827"/>
    <w:rsid w:val="00F01D48"/>
    <w:rsid w:val="00F0600B"/>
    <w:rsid w:val="00F12451"/>
    <w:rsid w:val="00F1712E"/>
    <w:rsid w:val="00F171FC"/>
    <w:rsid w:val="00F217E4"/>
    <w:rsid w:val="00F2328E"/>
    <w:rsid w:val="00F255E3"/>
    <w:rsid w:val="00F25F34"/>
    <w:rsid w:val="00F270E3"/>
    <w:rsid w:val="00F3713C"/>
    <w:rsid w:val="00F40282"/>
    <w:rsid w:val="00F41B07"/>
    <w:rsid w:val="00F45D0D"/>
    <w:rsid w:val="00F5086F"/>
    <w:rsid w:val="00F50FE9"/>
    <w:rsid w:val="00F52C46"/>
    <w:rsid w:val="00F6302B"/>
    <w:rsid w:val="00F67996"/>
    <w:rsid w:val="00F67A3B"/>
    <w:rsid w:val="00F70B55"/>
    <w:rsid w:val="00F73C00"/>
    <w:rsid w:val="00F740E6"/>
    <w:rsid w:val="00F82F6B"/>
    <w:rsid w:val="00F8326F"/>
    <w:rsid w:val="00F84871"/>
    <w:rsid w:val="00F84CBA"/>
    <w:rsid w:val="00F8614C"/>
    <w:rsid w:val="00F9308B"/>
    <w:rsid w:val="00F94AC7"/>
    <w:rsid w:val="00F94C62"/>
    <w:rsid w:val="00F94DE9"/>
    <w:rsid w:val="00F9536D"/>
    <w:rsid w:val="00FA377A"/>
    <w:rsid w:val="00FA47EE"/>
    <w:rsid w:val="00FC277F"/>
    <w:rsid w:val="00FC44F9"/>
    <w:rsid w:val="00FC6305"/>
    <w:rsid w:val="00FD123D"/>
    <w:rsid w:val="00FD18FF"/>
    <w:rsid w:val="00FD3704"/>
    <w:rsid w:val="00FE09D6"/>
    <w:rsid w:val="00FE14F6"/>
    <w:rsid w:val="00FF0941"/>
    <w:rsid w:val="00FF1416"/>
    <w:rsid w:val="00FF16C2"/>
    <w:rsid w:val="00FF2794"/>
    <w:rsid w:val="00FF5020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A2B5D"/>
  <w15:docId w15:val="{78BDD035-3BD6-4428-A596-C441DEC9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43722"/>
    <w:pPr>
      <w:keepNext/>
      <w:outlineLvl w:val="0"/>
    </w:pPr>
    <w:rPr>
      <w:b/>
      <w:bCs/>
      <w:i/>
      <w:i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5F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3722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437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372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043722"/>
  </w:style>
  <w:style w:type="paragraph" w:styleId="Cabealho">
    <w:name w:val="header"/>
    <w:basedOn w:val="Normal"/>
    <w:link w:val="CabealhoChar"/>
    <w:rsid w:val="000437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437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9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9EB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3448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90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F030F"/>
    <w:rPr>
      <w:b/>
      <w:bCs/>
    </w:rPr>
  </w:style>
  <w:style w:type="paragraph" w:styleId="NormalWeb">
    <w:name w:val="Normal (Web)"/>
    <w:basedOn w:val="Normal"/>
    <w:uiPriority w:val="99"/>
    <w:unhideWhenUsed/>
    <w:rsid w:val="002F030F"/>
    <w:pPr>
      <w:spacing w:before="100" w:beforeAutospacing="1" w:after="100" w:afterAutospacing="1"/>
    </w:pPr>
  </w:style>
  <w:style w:type="paragraph" w:customStyle="1" w:styleId="standard">
    <w:name w:val="standard"/>
    <w:basedOn w:val="Normal"/>
    <w:rsid w:val="002F030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2F030F"/>
    <w:rPr>
      <w:i/>
      <w:iCs/>
    </w:rPr>
  </w:style>
  <w:style w:type="paragraph" w:customStyle="1" w:styleId="Standard0">
    <w:name w:val="Standard"/>
    <w:rsid w:val="0086535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customStyle="1" w:styleId="Textbody">
    <w:name w:val="Text body"/>
    <w:basedOn w:val="Standard0"/>
    <w:uiPriority w:val="99"/>
    <w:rsid w:val="0086535A"/>
    <w:pPr>
      <w:jc w:val="both"/>
    </w:pPr>
  </w:style>
  <w:style w:type="character" w:customStyle="1" w:styleId="WW-Teletipo111111">
    <w:name w:val="WW-Teletipo111111"/>
    <w:rsid w:val="0086535A"/>
    <w:rPr>
      <w:rFonts w:ascii="Courier New" w:eastAsia="Courier New" w:hAnsi="Courier New" w:cs="Courier New" w:hint="default"/>
    </w:rPr>
  </w:style>
  <w:style w:type="paragraph" w:styleId="Ttulo">
    <w:name w:val="Title"/>
    <w:basedOn w:val="Normal"/>
    <w:next w:val="Subttulo"/>
    <w:link w:val="TtuloChar"/>
    <w:qFormat/>
    <w:rsid w:val="009A40D8"/>
    <w:pPr>
      <w:suppressAutoHyphens/>
      <w:jc w:val="center"/>
    </w:pPr>
    <w:rPr>
      <w:color w:val="008000"/>
      <w:sz w:val="32"/>
      <w:szCs w:val="20"/>
    </w:rPr>
  </w:style>
  <w:style w:type="character" w:customStyle="1" w:styleId="TtuloChar">
    <w:name w:val="Título Char"/>
    <w:basedOn w:val="Fontepargpadro"/>
    <w:link w:val="Ttulo"/>
    <w:rsid w:val="009A40D8"/>
    <w:rPr>
      <w:rFonts w:ascii="Times New Roman" w:eastAsia="Times New Roman" w:hAnsi="Times New Roman" w:cs="Times New Roman"/>
      <w:color w:val="008000"/>
      <w:sz w:val="32"/>
      <w:szCs w:val="20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9A40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SubttuloChar">
    <w:name w:val="Subtítulo Char"/>
    <w:basedOn w:val="Fontepargpadro"/>
    <w:link w:val="Subttulo"/>
    <w:rsid w:val="009A40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Textodenotaderodap">
    <w:name w:val="footnote text"/>
    <w:basedOn w:val="Normal"/>
    <w:link w:val="TextodenotaderodapChar"/>
    <w:semiHidden/>
    <w:unhideWhenUsed/>
    <w:rsid w:val="00E96E2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96E2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E96E2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D3FA2"/>
    <w:pPr>
      <w:ind w:left="720"/>
      <w:contextualSpacing/>
    </w:pPr>
  </w:style>
  <w:style w:type="character" w:customStyle="1" w:styleId="highlight">
    <w:name w:val="highlight"/>
    <w:basedOn w:val="Fontepargpadro"/>
    <w:rsid w:val="00953035"/>
  </w:style>
  <w:style w:type="character" w:customStyle="1" w:styleId="Ttulo4Char">
    <w:name w:val="Título 4 Char"/>
    <w:basedOn w:val="Fontepargpadro"/>
    <w:link w:val="Ttulo4"/>
    <w:uiPriority w:val="9"/>
    <w:semiHidden/>
    <w:rsid w:val="007D5FB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D5FB8"/>
  </w:style>
  <w:style w:type="character" w:customStyle="1" w:styleId="fontstyle01">
    <w:name w:val="fontstyle01"/>
    <w:basedOn w:val="Fontepargpadro"/>
    <w:rsid w:val="00AF4696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2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83924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7229">
          <w:marLeft w:val="1843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881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1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197055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RENATO\Timbrado%20201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5A87-F7CE-47EB-B3E3-4305155A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2013</Template>
  <TotalTime>89</TotalTime>
  <Pages>9</Pages>
  <Words>2924</Words>
  <Characters>15793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Warllans Wagner Xavier Souza</dc:creator>
  <cp:keywords/>
  <dc:description/>
  <cp:lastModifiedBy>Yann Almeida</cp:lastModifiedBy>
  <cp:revision>8</cp:revision>
  <cp:lastPrinted>2023-01-11T17:07:00Z</cp:lastPrinted>
  <dcterms:created xsi:type="dcterms:W3CDTF">2023-05-10T18:25:00Z</dcterms:created>
  <dcterms:modified xsi:type="dcterms:W3CDTF">2023-05-11T19:47:00Z</dcterms:modified>
</cp:coreProperties>
</file>