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BBFF" w14:textId="3C0C9E11" w:rsidR="00247DAB" w:rsidRPr="009934FC" w:rsidRDefault="00247DAB" w:rsidP="00E3320A">
      <w:pPr>
        <w:pStyle w:val="Corpodetexto"/>
        <w:spacing w:line="360" w:lineRule="auto"/>
        <w:ind w:right="-142"/>
        <w:jc w:val="both"/>
        <w:rPr>
          <w:rFonts w:eastAsia="Malgun Gothic"/>
          <w:b w:val="0"/>
          <w:sz w:val="23"/>
          <w:szCs w:val="23"/>
        </w:rPr>
      </w:pPr>
      <w:r w:rsidRPr="009934FC">
        <w:rPr>
          <w:rFonts w:eastAsia="Malgun Gothic"/>
          <w:sz w:val="23"/>
          <w:szCs w:val="23"/>
        </w:rPr>
        <w:t xml:space="preserve">EXCELENTÍSSIMO SENHOR DOUTOR JUÍZ DE DIREITO DA VARA ÚNICA DA COMARCA DE SAPEZAL </w:t>
      </w:r>
      <w:r w:rsidR="00E3320A">
        <w:rPr>
          <w:rFonts w:eastAsia="Malgun Gothic"/>
          <w:sz w:val="23"/>
          <w:szCs w:val="23"/>
        </w:rPr>
        <w:t>-</w:t>
      </w:r>
      <w:r w:rsidRPr="009934FC">
        <w:rPr>
          <w:rFonts w:eastAsia="Malgun Gothic"/>
          <w:sz w:val="23"/>
          <w:szCs w:val="23"/>
        </w:rPr>
        <w:t xml:space="preserve"> ESTADO DE MATO GROSSO</w:t>
      </w:r>
    </w:p>
    <w:p w14:paraId="09F20879" w14:textId="77777777" w:rsidR="00247DAB" w:rsidRPr="009934FC" w:rsidRDefault="00247DAB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253BAD7A" w14:textId="77777777" w:rsidR="001B0D96" w:rsidRPr="009934FC" w:rsidRDefault="001B0D9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7D7AD88A" w14:textId="77777777" w:rsidR="00B178E1" w:rsidRPr="009934FC" w:rsidRDefault="00B178E1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6CD22150" w14:textId="77777777" w:rsidR="001D51B6" w:rsidRPr="009934FC" w:rsidRDefault="001D51B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5454EB94" w14:textId="12C5BF8B" w:rsidR="009B0675" w:rsidRPr="009934FC" w:rsidRDefault="009B0675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4751F71C" w14:textId="2E81CF2E" w:rsidR="00345F46" w:rsidRPr="009934FC" w:rsidRDefault="00345F4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44F5E1AA" w14:textId="4BB5B05E" w:rsidR="00345F46" w:rsidRPr="009934FC" w:rsidRDefault="00345F46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  <w:u w:val="single"/>
        </w:rPr>
      </w:pPr>
    </w:p>
    <w:p w14:paraId="25B20CE9" w14:textId="35469CD7" w:rsidR="00CA0D7D" w:rsidRPr="009934FC" w:rsidRDefault="00CA0D7D" w:rsidP="00E3320A">
      <w:pPr>
        <w:spacing w:line="360" w:lineRule="auto"/>
        <w:ind w:right="-142"/>
        <w:jc w:val="both"/>
        <w:rPr>
          <w:rFonts w:ascii="Times New Roman" w:eastAsia="Malgun Gothic" w:hAnsi="Times New Roman"/>
          <w:b/>
          <w:sz w:val="23"/>
          <w:szCs w:val="23"/>
        </w:rPr>
      </w:pPr>
    </w:p>
    <w:p w14:paraId="650D6817" w14:textId="77777777" w:rsidR="001B0D96" w:rsidRPr="009934FC" w:rsidRDefault="001B0D96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iCs/>
          <w:sz w:val="23"/>
          <w:szCs w:val="23"/>
        </w:rPr>
      </w:pPr>
    </w:p>
    <w:p w14:paraId="4E5F33AA" w14:textId="77777777" w:rsidR="00247DAB" w:rsidRPr="009934FC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E3320A">
        <w:rPr>
          <w:rFonts w:ascii="Times New Roman" w:eastAsia="Malgun Gothic" w:hAnsi="Times New Roman"/>
          <w:sz w:val="23"/>
          <w:szCs w:val="23"/>
        </w:rPr>
        <w:t xml:space="preserve">O 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 xml:space="preserve">MUNICÍPIO DE SAPEZAL-MT, </w:t>
      </w:r>
      <w:r w:rsidRPr="009934FC">
        <w:rPr>
          <w:rFonts w:ascii="Times New Roman" w:eastAsia="Malgun Gothic" w:hAnsi="Times New Roman"/>
          <w:sz w:val="23"/>
          <w:szCs w:val="23"/>
        </w:rPr>
        <w:t>já qualificado nos autos, por meio do Procurador Municipal que ao final assina, que recebe as comunicações processuais no endereço constante no rodapé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, </w:t>
      </w:r>
      <w:r w:rsidRPr="009934FC">
        <w:rPr>
          <w:rFonts w:ascii="Times New Roman" w:eastAsia="Malgun Gothic" w:hAnsi="Times New Roman"/>
          <w:sz w:val="23"/>
          <w:szCs w:val="23"/>
        </w:rPr>
        <w:t>vem, nos termos do art. 1.009 e seguintes do Novo Código de Processo Civil, interpor</w:t>
      </w:r>
    </w:p>
    <w:p w14:paraId="354DDD85" w14:textId="77777777" w:rsidR="00247DAB" w:rsidRPr="009934FC" w:rsidRDefault="00247DAB" w:rsidP="00E3320A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7088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RECURSO DE APELAÇÃO</w:t>
      </w:r>
    </w:p>
    <w:p w14:paraId="07380C37" w14:textId="77777777" w:rsidR="00247DAB" w:rsidRPr="009934FC" w:rsidRDefault="00BF563C" w:rsidP="00E3320A">
      <w:pPr>
        <w:spacing w:line="360" w:lineRule="auto"/>
        <w:ind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iCs/>
          <w:sz w:val="23"/>
          <w:szCs w:val="23"/>
        </w:rPr>
        <w:t>c</w:t>
      </w:r>
      <w:r w:rsidR="00247DAB" w:rsidRPr="009934FC">
        <w:rPr>
          <w:rFonts w:ascii="Times New Roman" w:eastAsia="Malgun Gothic" w:hAnsi="Times New Roman"/>
          <w:iCs/>
          <w:sz w:val="23"/>
          <w:szCs w:val="23"/>
        </w:rPr>
        <w:t xml:space="preserve">ontra a sentença </w:t>
      </w:r>
      <w:r w:rsidR="00B6002A" w:rsidRPr="009934FC">
        <w:rPr>
          <w:rFonts w:ascii="Times New Roman" w:eastAsia="Malgun Gothic" w:hAnsi="Times New Roman"/>
          <w:iCs/>
          <w:sz w:val="23"/>
          <w:szCs w:val="23"/>
        </w:rPr>
        <w:t>proferido no bojo do processo em epígrafe</w:t>
      </w:r>
      <w:r w:rsidR="00247DAB" w:rsidRPr="009934FC">
        <w:rPr>
          <w:rFonts w:ascii="Times New Roman" w:eastAsia="Malgun Gothic" w:hAnsi="Times New Roman"/>
          <w:sz w:val="23"/>
          <w:szCs w:val="23"/>
        </w:rPr>
        <w:t xml:space="preserve">, pelos fundamentos fáticos e jurídicos constantes nas razões anexas. </w:t>
      </w:r>
    </w:p>
    <w:p w14:paraId="50D00CE3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0716A0DA" w14:textId="0B215A9D" w:rsidR="00E3320A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Requer-se </w:t>
      </w:r>
      <w:r w:rsidRPr="00E3320A">
        <w:rPr>
          <w:rFonts w:ascii="Times New Roman" w:eastAsia="Malgun Gothic" w:hAnsi="Times New Roman"/>
          <w:sz w:val="23"/>
          <w:szCs w:val="23"/>
        </w:rPr>
        <w:t>o recebimento e processamento do recurso, bem como a intimação do recorrido para, querendo, apresentar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contrarrazões</w:t>
      </w:r>
      <w:r w:rsidR="00BF563C" w:rsidRPr="009934FC">
        <w:rPr>
          <w:rFonts w:ascii="Times New Roman" w:eastAsia="Malgun Gothic" w:hAnsi="Times New Roman"/>
          <w:sz w:val="23"/>
          <w:szCs w:val="23"/>
        </w:rPr>
        <w:t>,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no prazo legal.</w:t>
      </w:r>
    </w:p>
    <w:p w14:paraId="5CCC8EE5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1F823FF" w14:textId="0A258784" w:rsidR="00247DAB" w:rsidRPr="009934FC" w:rsidRDefault="00247DA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T</w:t>
      </w:r>
      <w:r w:rsidR="001E742C" w:rsidRPr="009934FC">
        <w:rPr>
          <w:rFonts w:ascii="Times New Roman" w:eastAsia="Malgun Gothic" w:hAnsi="Times New Roman"/>
          <w:sz w:val="23"/>
          <w:szCs w:val="23"/>
        </w:rPr>
        <w:t>ermos em que espera deferimento.</w:t>
      </w:r>
    </w:p>
    <w:p w14:paraId="3B54B945" w14:textId="77777777" w:rsidR="00E3320A" w:rsidRDefault="00E3320A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</w:p>
    <w:p w14:paraId="5789E200" w14:textId="6F236132" w:rsidR="00D054FF" w:rsidRPr="009934FC" w:rsidRDefault="00162C71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Sapezal - MT, </w:t>
      </w:r>
      <w:r w:rsidR="008A7ACD" w:rsidRPr="009934FC">
        <w:rPr>
          <w:rFonts w:ascii="Times New Roman" w:eastAsia="Malgun Gothic" w:hAnsi="Times New Roman"/>
          <w:sz w:val="23"/>
          <w:szCs w:val="23"/>
        </w:rPr>
        <w:t>data registrada de forma eletrônica.</w:t>
      </w:r>
    </w:p>
    <w:p w14:paraId="2A95A377" w14:textId="77777777" w:rsidR="00CA0D7D" w:rsidRPr="009934FC" w:rsidRDefault="00CA0D7D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</w:p>
    <w:p w14:paraId="5FAFF749" w14:textId="09FBBB76" w:rsidR="001D51B6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i/>
          <w:iCs/>
          <w:sz w:val="23"/>
          <w:szCs w:val="23"/>
        </w:rPr>
      </w:pPr>
      <w:r w:rsidRPr="009934FC">
        <w:rPr>
          <w:rFonts w:ascii="Times New Roman" w:eastAsia="Malgun Gothic" w:hAnsi="Times New Roman"/>
          <w:i/>
          <w:iCs/>
          <w:sz w:val="23"/>
          <w:szCs w:val="23"/>
        </w:rPr>
        <w:t>(assinatura eletrônica)</w:t>
      </w:r>
    </w:p>
    <w:p w14:paraId="7CAE8AD3" w14:textId="77777777" w:rsidR="001D51B6" w:rsidRPr="009934FC" w:rsidRDefault="00247DA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iCs/>
          <w:sz w:val="23"/>
          <w:szCs w:val="23"/>
        </w:rPr>
        <w:t>JOSÉ APARECIDO DE OLIVEIRA JUNIOR</w:t>
      </w:r>
    </w:p>
    <w:p w14:paraId="4F10C2A7" w14:textId="77777777" w:rsidR="00D054FF" w:rsidRPr="009934FC" w:rsidRDefault="00247DA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iCs/>
          <w:sz w:val="23"/>
          <w:szCs w:val="23"/>
        </w:rPr>
        <w:t>Procurador Municipal</w:t>
      </w:r>
    </w:p>
    <w:p w14:paraId="51086033" w14:textId="49ACCA92" w:rsidR="003548DC" w:rsidRPr="009934FC" w:rsidRDefault="003548DC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04E421AD" w14:textId="1A2C4D47" w:rsidR="00CA0D7D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309D58F6" w14:textId="1F6AA9BD" w:rsidR="00345F46" w:rsidRPr="009934FC" w:rsidRDefault="00345F46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495F7512" w14:textId="77777777" w:rsidR="003548DC" w:rsidRDefault="003548DC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006DDE99" w14:textId="77777777" w:rsidR="00C036AA" w:rsidRPr="009934FC" w:rsidRDefault="00C036AA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</w:p>
    <w:p w14:paraId="6E1B06A2" w14:textId="77777777" w:rsidR="00162C71" w:rsidRPr="009934FC" w:rsidRDefault="00F22EB2" w:rsidP="00E3320A">
      <w:pPr>
        <w:spacing w:line="360" w:lineRule="auto"/>
        <w:ind w:right="-142"/>
        <w:rPr>
          <w:rFonts w:ascii="Times New Roman" w:eastAsia="Malgun Gothic" w:hAnsi="Times New Roman"/>
          <w:b/>
          <w:bCs/>
          <w:iCs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lastRenderedPageBreak/>
        <w:t xml:space="preserve">RAZÕES </w:t>
      </w:r>
      <w:r w:rsidR="00AC58B9" w:rsidRPr="009934FC">
        <w:rPr>
          <w:rFonts w:ascii="Times New Roman" w:eastAsia="Malgun Gothic" w:hAnsi="Times New Roman"/>
          <w:b/>
          <w:sz w:val="23"/>
          <w:szCs w:val="23"/>
        </w:rPr>
        <w:t>DO APELO</w:t>
      </w:r>
    </w:p>
    <w:p w14:paraId="5D9070DF" w14:textId="77777777" w:rsidR="00AF678D" w:rsidRPr="009934FC" w:rsidRDefault="00AF678D" w:rsidP="00E3320A">
      <w:pPr>
        <w:spacing w:line="360" w:lineRule="auto"/>
        <w:ind w:right="-142"/>
        <w:rPr>
          <w:rFonts w:ascii="Times New Roman" w:eastAsia="Malgun Gothic" w:hAnsi="Times New Roman"/>
          <w:b/>
          <w:sz w:val="23"/>
          <w:szCs w:val="23"/>
        </w:rPr>
      </w:pPr>
    </w:p>
    <w:p w14:paraId="09471440" w14:textId="77777777" w:rsidR="00F22EB2" w:rsidRPr="009934FC" w:rsidRDefault="00B72AF8" w:rsidP="00C036AA">
      <w:pPr>
        <w:ind w:right="-142"/>
        <w:jc w:val="both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Egrégio Tribunal de Justiça,</w:t>
      </w:r>
    </w:p>
    <w:p w14:paraId="06E08AAF" w14:textId="77777777" w:rsidR="00F22EB2" w:rsidRPr="009934FC" w:rsidRDefault="00F22EB2" w:rsidP="00C036AA">
      <w:pPr>
        <w:ind w:right="-142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Nobres Julgadores,</w:t>
      </w:r>
    </w:p>
    <w:p w14:paraId="6F350E39" w14:textId="77777777" w:rsidR="00F22EB2" w:rsidRPr="009934FC" w:rsidRDefault="00F22EB2" w:rsidP="00C036AA">
      <w:pPr>
        <w:ind w:right="-142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Ínclito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 Desembargador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 Relator</w:t>
      </w:r>
      <w:r w:rsidR="00D054FF" w:rsidRPr="009934FC">
        <w:rPr>
          <w:rFonts w:ascii="Times New Roman" w:eastAsia="Malgun Gothic" w:hAnsi="Times New Roman"/>
          <w:b/>
          <w:sz w:val="23"/>
          <w:szCs w:val="23"/>
        </w:rPr>
        <w:t>(a)</w:t>
      </w: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, </w:t>
      </w:r>
    </w:p>
    <w:p w14:paraId="616F98D1" w14:textId="77777777" w:rsidR="00162C71" w:rsidRPr="009934FC" w:rsidRDefault="00162C71" w:rsidP="00E3320A">
      <w:pPr>
        <w:spacing w:line="360" w:lineRule="auto"/>
        <w:ind w:right="-142"/>
        <w:rPr>
          <w:rFonts w:ascii="Times New Roman" w:eastAsia="Malgun Gothic" w:hAnsi="Times New Roman"/>
          <w:b/>
          <w:i/>
          <w:sz w:val="23"/>
          <w:szCs w:val="23"/>
        </w:rPr>
      </w:pPr>
    </w:p>
    <w:p w14:paraId="11466A5D" w14:textId="77777777" w:rsidR="009B0675" w:rsidRPr="009934FC" w:rsidRDefault="00823D5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 xml:space="preserve">I - DA </w:t>
      </w:r>
      <w:r w:rsidR="004D23E0" w:rsidRPr="009934FC">
        <w:rPr>
          <w:rFonts w:ascii="Times New Roman" w:eastAsia="Malgun Gothic" w:hAnsi="Times New Roman"/>
          <w:b/>
          <w:sz w:val="23"/>
          <w:szCs w:val="23"/>
        </w:rPr>
        <w:t>TEMPESTIVIDADE:</w:t>
      </w:r>
    </w:p>
    <w:p w14:paraId="556B1C7E" w14:textId="77777777" w:rsidR="009B0675" w:rsidRPr="009934FC" w:rsidRDefault="009B0675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0930FC25" w14:textId="047B3048" w:rsidR="0004083C" w:rsidRPr="009934FC" w:rsidRDefault="00D054FF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E3320A">
        <w:rPr>
          <w:rFonts w:ascii="Times New Roman" w:eastAsia="Malgun Gothic" w:hAnsi="Times New Roman"/>
          <w:bCs/>
          <w:sz w:val="23"/>
          <w:szCs w:val="23"/>
        </w:rPr>
        <w:t>E</w:t>
      </w:r>
      <w:r w:rsidR="00DF5496" w:rsidRPr="00E3320A">
        <w:rPr>
          <w:rFonts w:ascii="Times New Roman" w:eastAsia="Malgun Gothic" w:hAnsi="Times New Roman"/>
          <w:bCs/>
          <w:sz w:val="23"/>
          <w:szCs w:val="23"/>
        </w:rPr>
        <w:t>ste recurso é tempestivo,</w:t>
      </w:r>
      <w:r w:rsidR="00DF5496" w:rsidRPr="009934FC">
        <w:rPr>
          <w:rFonts w:ascii="Times New Roman" w:eastAsia="Malgun Gothic" w:hAnsi="Times New Roman"/>
          <w:sz w:val="23"/>
          <w:szCs w:val="23"/>
        </w:rPr>
        <w:t xml:space="preserve"> vez que não escoou o prazo legal de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15 (quinze) dias</w:t>
      </w:r>
      <w:r w:rsidR="00DF5496" w:rsidRPr="009934FC">
        <w:rPr>
          <w:rFonts w:ascii="Times New Roman" w:eastAsia="Malgun Gothic" w:hAnsi="Times New Roman"/>
          <w:sz w:val="23"/>
          <w:szCs w:val="23"/>
        </w:rPr>
        <w:t>, previsto no artigo 1.003, Par. 5°, do CPC, contados em</w:t>
      </w:r>
      <w:r w:rsidR="00DF5496" w:rsidRPr="009934FC">
        <w:rPr>
          <w:rFonts w:ascii="Times New Roman" w:eastAsia="Malgun Gothic" w:hAnsi="Times New Roman"/>
          <w:b/>
          <w:sz w:val="23"/>
          <w:szCs w:val="23"/>
        </w:rPr>
        <w:t xml:space="preserve">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dobro</w:t>
      </w:r>
      <w:r w:rsidR="00DF5496" w:rsidRPr="009934FC">
        <w:rPr>
          <w:rFonts w:ascii="Times New Roman" w:eastAsia="Malgun Gothic" w:hAnsi="Times New Roman"/>
          <w:sz w:val="23"/>
          <w:szCs w:val="23"/>
        </w:rPr>
        <w:t xml:space="preserve"> para a Fazenda Pública, na forma do artigo 183 do CPC, e bem assim apenas em </w:t>
      </w:r>
      <w:r w:rsidR="00DF5496" w:rsidRPr="009934FC">
        <w:rPr>
          <w:rFonts w:ascii="Times New Roman" w:eastAsia="Malgun Gothic" w:hAnsi="Times New Roman"/>
          <w:sz w:val="23"/>
          <w:szCs w:val="23"/>
          <w:u w:val="single"/>
        </w:rPr>
        <w:t>dias úteis</w:t>
      </w:r>
      <w:r w:rsidR="00DF5496" w:rsidRPr="009934FC">
        <w:rPr>
          <w:rFonts w:ascii="Times New Roman" w:eastAsia="Malgun Gothic" w:hAnsi="Times New Roman"/>
          <w:sz w:val="23"/>
          <w:szCs w:val="23"/>
        </w:rPr>
        <w:t>, consoante o artigo 212 do CPC.</w:t>
      </w:r>
    </w:p>
    <w:p w14:paraId="6204D329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3A44B611" w14:textId="5753E98E" w:rsidR="00363D04" w:rsidRPr="009934FC" w:rsidRDefault="00363D04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II -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 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>DO CABIMENTO – VALOR ACIMA DE 50 ORTN:</w:t>
      </w:r>
    </w:p>
    <w:p w14:paraId="2B3F082F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/>
          <w:bCs/>
          <w:sz w:val="23"/>
          <w:szCs w:val="23"/>
        </w:rPr>
      </w:pPr>
    </w:p>
    <w:p w14:paraId="7F9D7DAF" w14:textId="4575D46D" w:rsidR="00E3320A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Na forma da </w:t>
      </w:r>
      <w:r w:rsidR="00E3320A">
        <w:rPr>
          <w:rFonts w:ascii="Times New Roman" w:eastAsia="Malgun Gothic" w:hAnsi="Times New Roman"/>
          <w:sz w:val="23"/>
          <w:szCs w:val="23"/>
        </w:rPr>
        <w:t>L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ei de </w:t>
      </w:r>
      <w:r w:rsidR="00E3320A">
        <w:rPr>
          <w:rFonts w:ascii="Times New Roman" w:eastAsia="Malgun Gothic" w:hAnsi="Times New Roman"/>
          <w:sz w:val="23"/>
          <w:szCs w:val="23"/>
        </w:rPr>
        <w:t>E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xecução </w:t>
      </w:r>
      <w:r w:rsidR="00E3320A">
        <w:rPr>
          <w:rFonts w:ascii="Times New Roman" w:eastAsia="Malgun Gothic" w:hAnsi="Times New Roman"/>
          <w:sz w:val="23"/>
          <w:szCs w:val="23"/>
        </w:rPr>
        <w:t>F</w:t>
      </w:r>
      <w:r w:rsidRPr="009934FC">
        <w:rPr>
          <w:rFonts w:ascii="Times New Roman" w:eastAsia="Malgun Gothic" w:hAnsi="Times New Roman"/>
          <w:sz w:val="23"/>
          <w:szCs w:val="23"/>
        </w:rPr>
        <w:t>iscal (Art. 34), das sentenças de primeira instância proferidas em execuções de valor igual ou inferior a 50 (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cinqüenta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>) Obrigações Reajustáveis do Tesouro Nacional - ORTN, só se admitirão embargos infringentes e de declaração.</w:t>
      </w:r>
      <w:r w:rsidR="00E3320A">
        <w:rPr>
          <w:rFonts w:ascii="Times New Roman" w:eastAsia="Malgun Gothic" w:hAnsi="Times New Roman"/>
          <w:sz w:val="23"/>
          <w:szCs w:val="23"/>
        </w:rPr>
        <w:t xml:space="preserve">  </w:t>
      </w:r>
      <w:r w:rsidRPr="009934FC">
        <w:rPr>
          <w:rFonts w:ascii="Times New Roman" w:eastAsia="Malgun Gothic" w:hAnsi="Times New Roman"/>
          <w:sz w:val="23"/>
          <w:szCs w:val="23"/>
        </w:rPr>
        <w:t>Acima desse valor, tendo por parâmetro a data de propositura da ação (§ 1° do artigo 34 da LEF), é cabível a apelação.</w:t>
      </w:r>
    </w:p>
    <w:p w14:paraId="04101238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6EC46DE0" w14:textId="1D0ACA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t>Conforme assentou o STJ</w:t>
      </w:r>
      <w:r w:rsidRPr="00E3320A">
        <w:rPr>
          <w:rFonts w:ascii="Times New Roman" w:eastAsia="Malgun Gothic" w:hAnsi="Times New Roman"/>
          <w:sz w:val="23"/>
          <w:szCs w:val="23"/>
        </w:rPr>
        <w:t xml:space="preserve"> </w:t>
      </w:r>
      <w:r>
        <w:rPr>
          <w:rFonts w:ascii="Times New Roman" w:eastAsia="Malgun Gothic" w:hAnsi="Times New Roman"/>
          <w:sz w:val="23"/>
          <w:szCs w:val="23"/>
        </w:rPr>
        <w:t>(</w:t>
      </w:r>
      <w:r w:rsidRPr="009934FC">
        <w:rPr>
          <w:rFonts w:ascii="Times New Roman" w:eastAsia="Malgun Gothic" w:hAnsi="Times New Roman"/>
          <w:sz w:val="23"/>
          <w:szCs w:val="23"/>
        </w:rPr>
        <w:t>REsp: 1168625</w:t>
      </w:r>
      <w:r>
        <w:rPr>
          <w:rFonts w:ascii="Times New Roman" w:eastAsia="Malgun Gothic" w:hAnsi="Times New Roman"/>
          <w:sz w:val="23"/>
          <w:szCs w:val="23"/>
        </w:rPr>
        <w:t>), c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inquenta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ORTN correspondia, em 2001, a R$ 328,27</w:t>
      </w:r>
      <w:r>
        <w:rPr>
          <w:rFonts w:ascii="Times New Roman" w:eastAsia="Malgun Gothic" w:hAnsi="Times New Roman"/>
          <w:sz w:val="23"/>
          <w:szCs w:val="23"/>
        </w:rPr>
        <w:t xml:space="preserve">, devendo ser atualizo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pelo IPCA-E</w:t>
      </w:r>
      <w:r>
        <w:rPr>
          <w:rFonts w:ascii="Times New Roman" w:eastAsia="Malgun Gothic" w:hAnsi="Times New Roman"/>
          <w:sz w:val="23"/>
          <w:szCs w:val="23"/>
        </w:rPr>
        <w:t xml:space="preserve"> a partir de janeiro de 2001.</w:t>
      </w:r>
      <w:r w:rsidR="00C25EB2">
        <w:rPr>
          <w:rFonts w:ascii="Times New Roman" w:eastAsia="Malgun Gothic" w:hAnsi="Times New Roman"/>
          <w:sz w:val="23"/>
          <w:szCs w:val="23"/>
        </w:rPr>
        <w:t xml:space="preserve"> Tal valor atualizado correspondia, em dezembro de 2023, a </w:t>
      </w:r>
      <w:r w:rsidR="00C25EB2" w:rsidRPr="00C25EB2">
        <w:rPr>
          <w:rFonts w:ascii="Times New Roman" w:eastAsia="Malgun Gothic" w:hAnsi="Times New Roman"/>
          <w:sz w:val="23"/>
          <w:szCs w:val="23"/>
          <w:u w:val="single"/>
        </w:rPr>
        <w:t xml:space="preserve">R$ </w:t>
      </w:r>
      <w:r w:rsidR="00C25EB2" w:rsidRPr="00C25EB2">
        <w:rPr>
          <w:rFonts w:ascii="Times New Roman" w:eastAsia="Malgun Gothic" w:hAnsi="Times New Roman"/>
          <w:b/>
          <w:bCs/>
          <w:sz w:val="23"/>
          <w:szCs w:val="23"/>
          <w:u w:val="single"/>
        </w:rPr>
        <w:t>1.320,10</w:t>
      </w:r>
      <w:r w:rsidR="00C25EB2">
        <w:rPr>
          <w:rFonts w:ascii="Times New Roman" w:eastAsia="Malgun Gothic" w:hAnsi="Times New Roman"/>
          <w:sz w:val="23"/>
          <w:szCs w:val="23"/>
        </w:rPr>
        <w:t>:</w:t>
      </w:r>
    </w:p>
    <w:p w14:paraId="4F6CC807" w14:textId="77777777" w:rsidR="00C25EB2" w:rsidRDefault="00C25EB2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1FE12306" w14:textId="6F2226BE" w:rsidR="00C25EB2" w:rsidRDefault="00C25EB2" w:rsidP="00C25EB2">
      <w:pPr>
        <w:spacing w:line="360" w:lineRule="auto"/>
        <w:ind w:right="-142"/>
        <w:jc w:val="center"/>
        <w:rPr>
          <w:rFonts w:ascii="Times New Roman" w:eastAsia="Malgun Gothic" w:hAnsi="Times New Roman"/>
          <w:sz w:val="23"/>
          <w:szCs w:val="23"/>
        </w:rPr>
      </w:pPr>
      <w:r>
        <w:rPr>
          <w:noProof/>
        </w:rPr>
        <w:drawing>
          <wp:inline distT="0" distB="0" distL="0" distR="0" wp14:anchorId="0C352E47" wp14:editId="7A7E5CF4">
            <wp:extent cx="2902512" cy="2286828"/>
            <wp:effectExtent l="0" t="0" r="0" b="0"/>
            <wp:docPr id="1301482326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82326" name="Imagem 1" descr="Interface gráfica do usuário, Text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778" cy="228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A916" w14:textId="77777777" w:rsidR="00E3320A" w:rsidRDefault="00E3320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282EC40" w14:textId="77777777" w:rsidR="00C25EB2" w:rsidRDefault="00E3320A" w:rsidP="00C036A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lastRenderedPageBreak/>
        <w:t xml:space="preserve">No caso concreto, </w:t>
      </w:r>
      <w:r w:rsidR="00363D04" w:rsidRPr="009934FC">
        <w:rPr>
          <w:rFonts w:ascii="Times New Roman" w:eastAsia="Malgun Gothic" w:hAnsi="Times New Roman"/>
          <w:sz w:val="23"/>
          <w:szCs w:val="23"/>
        </w:rPr>
        <w:t>na data do ajuizamento desta demanda</w:t>
      </w:r>
      <w:r>
        <w:rPr>
          <w:rFonts w:ascii="Times New Roman" w:eastAsia="Malgun Gothic" w:hAnsi="Times New Roman"/>
          <w:sz w:val="23"/>
          <w:szCs w:val="23"/>
        </w:rPr>
        <w:t xml:space="preserve">, </w:t>
      </w:r>
      <w:r w:rsidR="00C25EB2">
        <w:rPr>
          <w:rFonts w:ascii="Times New Roman" w:eastAsia="Malgun Gothic" w:hAnsi="Times New Roman"/>
          <w:sz w:val="23"/>
          <w:szCs w:val="23"/>
        </w:rPr>
        <w:t xml:space="preserve">o valor exequendo é superior ao valor de alçada. </w:t>
      </w:r>
    </w:p>
    <w:p w14:paraId="6D71ACC0" w14:textId="77777777" w:rsidR="00C25EB2" w:rsidRDefault="00C25EB2" w:rsidP="00C036A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2E95BA21" w14:textId="1313CCA7" w:rsidR="009934FC" w:rsidRPr="00C25EB2" w:rsidRDefault="00C25EB2" w:rsidP="00C036A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/>
          <w:bCs/>
          <w:sz w:val="23"/>
          <w:szCs w:val="23"/>
          <w:u w:val="single"/>
        </w:rPr>
      </w:pPr>
      <w:r w:rsidRPr="00C25EB2">
        <w:rPr>
          <w:rFonts w:ascii="Times New Roman" w:eastAsia="Malgun Gothic" w:hAnsi="Times New Roman"/>
          <w:b/>
          <w:bCs/>
          <w:sz w:val="23"/>
          <w:szCs w:val="23"/>
          <w:u w:val="single"/>
        </w:rPr>
        <w:t xml:space="preserve">Adequado </w:t>
      </w:r>
      <w:r>
        <w:rPr>
          <w:rFonts w:ascii="Times New Roman" w:eastAsia="Malgun Gothic" w:hAnsi="Times New Roman"/>
          <w:b/>
          <w:bCs/>
          <w:sz w:val="23"/>
          <w:szCs w:val="23"/>
          <w:u w:val="single"/>
        </w:rPr>
        <w:t xml:space="preserve">e cabível </w:t>
      </w:r>
      <w:r w:rsidRPr="00C25EB2">
        <w:rPr>
          <w:rFonts w:ascii="Times New Roman" w:eastAsia="Malgun Gothic" w:hAnsi="Times New Roman"/>
          <w:b/>
          <w:bCs/>
          <w:sz w:val="23"/>
          <w:szCs w:val="23"/>
          <w:u w:val="single"/>
        </w:rPr>
        <w:t>este recurso, portanto.</w:t>
      </w:r>
    </w:p>
    <w:p w14:paraId="73A8F1EC" w14:textId="77777777" w:rsidR="00C036AA" w:rsidRDefault="00C036AA" w:rsidP="00C25EB2">
      <w:pPr>
        <w:spacing w:line="360" w:lineRule="auto"/>
        <w:ind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21FE0989" w14:textId="7BC1689E" w:rsidR="00363D04" w:rsidRPr="009934FC" w:rsidRDefault="00C25EB2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eastAsia="Malgun Gothic" w:hAnsi="Times New Roman"/>
          <w:sz w:val="23"/>
          <w:szCs w:val="23"/>
        </w:rPr>
        <w:t xml:space="preserve">Nessa linha </w:t>
      </w:r>
      <w:r w:rsidR="00C036AA">
        <w:rPr>
          <w:rFonts w:ascii="Times New Roman" w:eastAsia="Malgun Gothic" w:hAnsi="Times New Roman"/>
          <w:sz w:val="23"/>
          <w:szCs w:val="23"/>
        </w:rPr>
        <w:t>se posicionou o STJ</w:t>
      </w:r>
      <w:r w:rsidR="00363D04" w:rsidRPr="009934FC">
        <w:rPr>
          <w:rFonts w:ascii="Times New Roman" w:eastAsia="Malgun Gothic" w:hAnsi="Times New Roman"/>
          <w:sz w:val="23"/>
          <w:szCs w:val="23"/>
        </w:rPr>
        <w:t>:</w:t>
      </w:r>
    </w:p>
    <w:p w14:paraId="196D6959" w14:textId="77777777" w:rsidR="00363D04" w:rsidRPr="009934FC" w:rsidRDefault="00363D04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22F46305" w14:textId="77777777" w:rsidR="00363D04" w:rsidRPr="009934FC" w:rsidRDefault="00363D04" w:rsidP="00E3320A">
      <w:pPr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PROCESSUAL CIVIL. RECURSO ESPECIAL REPRESENTATIVO DA CONTROVÉRSIA. ART. 543-C, DO CPC. TRIBUTÁRIO. EXECUÇÃO FISCAL. VALOR DE ALÇADA. CABIMENTO DE APELAÇÃO NOS CASOS EM QUE O VALOR DA CAUSA EXCEDE 50 ORTN'S. ART. 34 DA LEI N.º 6.830/80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LEF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). 50 ORTN = 50 OTN = 308,50 BTN = 308,50 UFIR = R$ 328, 27, EM DEZ/2000. PRECEDENTES. CORREÇÃO PELO IPCA-E A PARTIR DE JAN/2001. 1. </w:t>
      </w:r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O recurso de apelação é cabível nas execuções fiscais nas hipóteses em que o seu valor excede, na data da propositura da ação, 50 (</w:t>
      </w:r>
      <w:proofErr w:type="spellStart"/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cinqüenta</w:t>
      </w:r>
      <w:proofErr w:type="spellEnd"/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) Obrigações Reajustáveis do Tesouro Nacional - ORTN, à luz do disposto no artigo 34, da Lei n.º 6.830, de 22 de setembro de 1980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. 2. A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ratio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essendi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da norma é promover uma tramitação mais célere nas ações de execução fiscal com valores menos expressivos, admitindo-se apenas embargos infringentes e de declaração a serem conhecidos e julgados pelo juízo prolator da sentença, e vedando-se a interposição de recurso ordinário. 3. Essa Corte consolidou o sentido de que "com a extinção da ORTN, o valor de alçada deve ser encontrado a partir da interpretação da norma que extinguiu um índice e o substituiu por outro, mantendo-se a paridade das unidades de referência, sem efetuar a conversão para moeda corrente, para evitar a perda do valor aquisitivo", de sorte que "50 ORTN = 50 OTN = 308,50 BTN = 308,50 UFIR = R$ 328,27 (trezentos e vinte e oito reais e vinte e sete centavos) a partir de janeiro/2001, quando foi extinta a UFIR e desindexada a economia".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REsp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607.930/DF, Rel. Ministra Eliana Calmon, Segunda Turma, julgado em 06/04/2004, DJ 17/05/2004 p. 206) 4. Precedentes jurisprudenciais: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AgRg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no Ag 965.535/PR, Rel. Ministro Mauro Campbell Marques, Segunda Turma, julgado em 02/10/2008,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DJe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06/11/2008;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AgRg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no Ag 952.119/PR, Rel. Ministra Eliana Calmon, Segunda Turma, julgado em 19/02/2008, DJ 28/02/2008 p. 1; REsp 602.179/SC, Rel. Ministro Teori Albino Zavascki, Primeira Turma, julgado em 07/03/2006, DJ 27/03/2006 p. 161. 5. Outrossim, há de se considerar que a jurisprudência do Egrégio STJ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manifestou-se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no sentido de que "extinta a UFIR pela Medida Provisória nº 1.973/67, de 26.10.2000, convertida na Lei 10.552/2002, o índice substitutivo utilizado para a atualização monetária dos créditos do contribuinte para com a Fazenda passa a ser o IPCA-E, divulgado pelo IBGE, na forma da resolução 242/2001 do Conselho da Justiça Federal". </w:t>
      </w:r>
      <w:proofErr w:type="gramStart"/>
      <w:r w:rsidRPr="009934FC">
        <w:rPr>
          <w:rFonts w:ascii="Times New Roman" w:eastAsia="Malgun Gothic" w:hAnsi="Times New Roman"/>
          <w:sz w:val="23"/>
          <w:szCs w:val="23"/>
        </w:rPr>
        <w:t>( REsp</w:t>
      </w:r>
      <w:proofErr w:type="gramEnd"/>
      <w:r w:rsidRPr="009934FC">
        <w:rPr>
          <w:rFonts w:ascii="Times New Roman" w:eastAsia="Malgun Gothic" w:hAnsi="Times New Roman"/>
          <w:sz w:val="23"/>
          <w:szCs w:val="23"/>
        </w:rPr>
        <w:t xml:space="preserve"> 761.319/RS, Rel. Ministro Luiz Fux, Primeira Turma, julgado em 07/03/2006, DJ 20/03/2006 p. 208) 6. A doutrina do tema corrobora esse entendimento, assentando que "tem-se utilizado o IPCA-E a partir de então pois servia </w:t>
      </w:r>
      <w:r w:rsidRPr="009934FC">
        <w:rPr>
          <w:rFonts w:ascii="Times New Roman" w:eastAsia="Malgun Gothic" w:hAnsi="Times New Roman"/>
          <w:sz w:val="23"/>
          <w:szCs w:val="23"/>
        </w:rPr>
        <w:lastRenderedPageBreak/>
        <w:t xml:space="preserve">de parâmetro para a fixação da UFIR. Não há como aplicar a SELIC, pois esta abrange tanto correção como juros". (PAUSEN, Leandro. ÁVILA, René Bergmann. SLIWKA, Ingrid Schroder. Direito Processual Tributário. 5.ª ed. Porto Alegre: Livraria do Advogado editora, 2009, p. 404) 7. Dessa sorte, mutatis mutandis, </w:t>
      </w:r>
      <w:r w:rsidRPr="009934FC">
        <w:rPr>
          <w:rFonts w:ascii="Times New Roman" w:eastAsia="Malgun Gothic" w:hAnsi="Times New Roman"/>
          <w:b/>
          <w:bCs/>
          <w:sz w:val="23"/>
          <w:szCs w:val="23"/>
          <w:u w:val="single"/>
        </w:rPr>
        <w:t>adota-se como valor de alçada para o cabimento de apelação em sede de execução fiscal o valor de R$ 328,27 (trezentos e vinte e oito reais e vinte e sete centavos), corrigido pelo IPCA-E a partir de janeiro de 2001, valor esse que deve ser observado à data da propositura da execução</w:t>
      </w:r>
      <w:r w:rsidRPr="009934FC">
        <w:rPr>
          <w:rFonts w:ascii="Times New Roman" w:eastAsia="Malgun Gothic" w:hAnsi="Times New Roman"/>
          <w:sz w:val="23"/>
          <w:szCs w:val="23"/>
        </w:rPr>
        <w:t xml:space="preserve">. 8. In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casu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, a demanda executiva fiscal, objetivando a cobrança de R$ 720,80 (setecentos e vinte reais e oitenta centavos), foi ajuizada em dezembro de 2005. O Novo Manual de Cálculos da Justiça Federal, (disponível em), indica que o índice de correção, pelo IPCA-E, a ser adotado no período entre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jan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>/2001 e dez/2005 é de 1,5908716293. Assim, R$ 328,27 (trezentos e vinte e oito reais e vinte e sete centavos), com a aplicação do referido índice de atualização, conclui-se que o valor de alçada para as execuções fiscais ajuizadas em dezembro/2005 era de R$ 522,24 (quinhentos e vinte e dois reais e vinte a quatro centavos), de sorte que o valor da execução ultrapassa o valor de alçada disposto no artigo 34, da Lei n.º 6.830/80, sendo cabível, a fortiori, a interposição da apelação. 9. Recurso especial conhecido e provido. Acórdão submetido ao regime do art. 543-C do CPC e da Resolução STJ 08/2008.</w:t>
      </w:r>
    </w:p>
    <w:p w14:paraId="64527928" w14:textId="501B4687" w:rsidR="00363D04" w:rsidRPr="009934FC" w:rsidRDefault="00363D04" w:rsidP="00E3320A">
      <w:pPr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(STJ - REsp: 1168625 MG 2009/0105570-4, Relator: Ministro LUIZ FUX, Data de Julgamento: 09/06/2010, S1 - PRIMEIRA SEÇÃO, Data de Publicação: </w:t>
      </w:r>
      <w:proofErr w:type="spellStart"/>
      <w:r w:rsidRPr="009934FC">
        <w:rPr>
          <w:rFonts w:ascii="Times New Roman" w:eastAsia="Malgun Gothic" w:hAnsi="Times New Roman"/>
          <w:sz w:val="23"/>
          <w:szCs w:val="23"/>
        </w:rPr>
        <w:t>DJe</w:t>
      </w:r>
      <w:proofErr w:type="spellEnd"/>
      <w:r w:rsidRPr="009934FC">
        <w:rPr>
          <w:rFonts w:ascii="Times New Roman" w:eastAsia="Malgun Gothic" w:hAnsi="Times New Roman"/>
          <w:sz w:val="23"/>
          <w:szCs w:val="23"/>
        </w:rPr>
        <w:t xml:space="preserve"> 01/07/2010 RSTJ vol. 219 p. 121).</w:t>
      </w:r>
    </w:p>
    <w:p w14:paraId="214B8963" w14:textId="77777777" w:rsidR="00363D04" w:rsidRPr="009934FC" w:rsidRDefault="00363D04" w:rsidP="00E3320A">
      <w:pPr>
        <w:spacing w:line="360" w:lineRule="auto"/>
        <w:ind w:left="2268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0EB9A630" w14:textId="62FF3633" w:rsidR="004E273F" w:rsidRPr="009934FC" w:rsidRDefault="00C036AA" w:rsidP="00E3320A">
      <w:pPr>
        <w:pStyle w:val="Recuodecorpodetexto"/>
        <w:spacing w:after="0" w:line="360" w:lineRule="auto"/>
        <w:ind w:left="0"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>
        <w:rPr>
          <w:rFonts w:ascii="Times New Roman" w:eastAsia="Malgun Gothic" w:hAnsi="Times New Roman"/>
          <w:b/>
          <w:sz w:val="23"/>
          <w:szCs w:val="23"/>
        </w:rPr>
        <w:t>I</w:t>
      </w:r>
      <w:r w:rsidR="00F22EB2" w:rsidRPr="009934FC">
        <w:rPr>
          <w:rFonts w:ascii="Times New Roman" w:eastAsia="Malgun Gothic" w:hAnsi="Times New Roman"/>
          <w:b/>
          <w:sz w:val="23"/>
          <w:szCs w:val="23"/>
        </w:rPr>
        <w:t>I</w:t>
      </w:r>
      <w:r w:rsidR="00823D5D" w:rsidRPr="009934FC">
        <w:rPr>
          <w:rFonts w:ascii="Times New Roman" w:eastAsia="Malgun Gothic" w:hAnsi="Times New Roman"/>
          <w:b/>
          <w:sz w:val="23"/>
          <w:szCs w:val="23"/>
        </w:rPr>
        <w:t>I</w:t>
      </w:r>
      <w:r w:rsidR="00F22EB2" w:rsidRPr="009934FC">
        <w:rPr>
          <w:rFonts w:ascii="Times New Roman" w:eastAsia="Malgun Gothic" w:hAnsi="Times New Roman"/>
          <w:b/>
          <w:sz w:val="23"/>
          <w:szCs w:val="23"/>
        </w:rPr>
        <w:t xml:space="preserve"> – SÍNTESE DO PROCESSO:</w:t>
      </w:r>
    </w:p>
    <w:p w14:paraId="0329413B" w14:textId="77777777" w:rsidR="009B0675" w:rsidRPr="009934FC" w:rsidRDefault="009B0675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5FD480BB" w14:textId="77777777" w:rsidR="00C25EB2" w:rsidRDefault="00F2303B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Trata-se </w:t>
      </w:r>
      <w:r w:rsidR="00DA7055" w:rsidRPr="009934FC">
        <w:rPr>
          <w:rFonts w:ascii="Times New Roman" w:eastAsia="Malgun Gothic" w:hAnsi="Times New Roman"/>
          <w:sz w:val="23"/>
          <w:szCs w:val="23"/>
        </w:rPr>
        <w:t xml:space="preserve">de sentença </w:t>
      </w:r>
      <w:r w:rsidR="009934FC" w:rsidRPr="009934FC">
        <w:rPr>
          <w:rFonts w:ascii="Times New Roman" w:eastAsia="Malgun Gothic" w:hAnsi="Times New Roman"/>
          <w:sz w:val="23"/>
          <w:szCs w:val="23"/>
        </w:rPr>
        <w:t>que extinguiu a execução fiscal por falta de interesse de agir, baseando-se, em especial, na Resolução n. 547</w:t>
      </w:r>
      <w:r w:rsidR="0054564B">
        <w:rPr>
          <w:rFonts w:ascii="Times New Roman" w:eastAsia="Malgun Gothic" w:hAnsi="Times New Roman"/>
          <w:sz w:val="23"/>
          <w:szCs w:val="23"/>
        </w:rPr>
        <w:t>/CNJ</w:t>
      </w:r>
      <w:r w:rsidR="009934FC" w:rsidRPr="009934FC">
        <w:rPr>
          <w:rFonts w:ascii="Times New Roman" w:eastAsia="Malgun Gothic" w:hAnsi="Times New Roman"/>
          <w:sz w:val="23"/>
          <w:szCs w:val="23"/>
        </w:rPr>
        <w:t>, de 22 de fevereiro de 2024.</w:t>
      </w:r>
      <w:r w:rsidR="009934FC">
        <w:rPr>
          <w:rFonts w:ascii="Times New Roman" w:eastAsia="Malgun Gothic" w:hAnsi="Times New Roman"/>
          <w:sz w:val="23"/>
          <w:szCs w:val="23"/>
        </w:rPr>
        <w:t xml:space="preserve"> </w:t>
      </w:r>
    </w:p>
    <w:p w14:paraId="2AE8FB6E" w14:textId="77777777" w:rsidR="00C25EB2" w:rsidRDefault="00C25EB2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509ECF25" w14:textId="765B62C4" w:rsidR="009934FC" w:rsidRPr="009934FC" w:rsidRDefault="009934FC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Se equivocou o </w:t>
      </w:r>
      <w:r>
        <w:rPr>
          <w:rFonts w:ascii="Times New Roman" w:eastAsia="Malgun Gothic" w:hAnsi="Times New Roman"/>
          <w:sz w:val="23"/>
          <w:szCs w:val="23"/>
        </w:rPr>
        <w:t>J</w:t>
      </w:r>
      <w:r w:rsidRPr="009934FC">
        <w:rPr>
          <w:rFonts w:ascii="Times New Roman" w:eastAsia="Malgun Gothic" w:hAnsi="Times New Roman"/>
          <w:sz w:val="23"/>
          <w:szCs w:val="23"/>
        </w:rPr>
        <w:t>uízo.</w:t>
      </w:r>
    </w:p>
    <w:p w14:paraId="45DD7DC7" w14:textId="5D2F08C4" w:rsidR="00CA0D7D" w:rsidRPr="009934FC" w:rsidRDefault="00CA0D7D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070405C" w14:textId="7409CB56" w:rsidR="00CA0D7D" w:rsidRDefault="00CA0D7D" w:rsidP="00E3320A">
      <w:pPr>
        <w:autoSpaceDE w:val="0"/>
        <w:autoSpaceDN w:val="0"/>
        <w:adjustRightInd w:val="0"/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Veja os termos da sentença:</w:t>
      </w:r>
    </w:p>
    <w:p w14:paraId="6816FD5A" w14:textId="77777777" w:rsidR="009934FC" w:rsidRPr="009934FC" w:rsidRDefault="009934FC" w:rsidP="00C25EB2">
      <w:pPr>
        <w:autoSpaceDE w:val="0"/>
        <w:autoSpaceDN w:val="0"/>
        <w:adjustRightInd w:val="0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1DF31B3" w14:textId="501DDF33" w:rsidR="009934FC" w:rsidRPr="009934FC" w:rsidRDefault="00CA0D7D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“</w:t>
      </w:r>
      <w:r w:rsidR="009934FC" w:rsidRPr="009934FC">
        <w:rPr>
          <w:rFonts w:ascii="Times New Roman" w:eastAsia="Malgun Gothic" w:hAnsi="Times New Roman"/>
          <w:sz w:val="23"/>
          <w:szCs w:val="23"/>
        </w:rPr>
        <w:t>VISTOS</w:t>
      </w:r>
      <w:r w:rsidR="0054564B">
        <w:rPr>
          <w:rFonts w:ascii="Times New Roman" w:eastAsia="Malgun Gothic" w:hAnsi="Times New Roman"/>
          <w:sz w:val="23"/>
          <w:szCs w:val="23"/>
        </w:rPr>
        <w:t>.</w:t>
      </w:r>
    </w:p>
    <w:p w14:paraId="0AE48D71" w14:textId="77777777" w:rsidR="00C25EB2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3EC9633E" w14:textId="0268D5F3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Analisando os autos, verifico que é o caso de extinção de execução fiscal, por ausência de interesse de agir, em virtude de tratar-se de execução de baixo valor (menos de R$ 10.000,00 quando do ajuizamento).</w:t>
      </w:r>
    </w:p>
    <w:p w14:paraId="0D5EA190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4EF12687" w14:textId="77777777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 xml:space="preserve">Sobre a matéria, recentemente o Supremo Tribunal Federal, ao julgar o recurso extraordinário com repercussão geral (Tema 1.184), decidiu que o juiz pode encerrar processos judiciais iniciados pelos entes públicos (União, Estados e Municípios, por </w:t>
      </w:r>
      <w:r w:rsidRPr="009934FC">
        <w:rPr>
          <w:rFonts w:ascii="Times New Roman" w:eastAsia="Malgun Gothic" w:hAnsi="Times New Roman"/>
          <w:sz w:val="23"/>
          <w:szCs w:val="23"/>
        </w:rPr>
        <w:lastRenderedPageBreak/>
        <w:t>exemplo) para a cobrança de débitos (execuções fiscais), quando o valor da dívida for muito baixo.</w:t>
      </w:r>
    </w:p>
    <w:p w14:paraId="59B8B8F9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42EB6A9B" w14:textId="77777777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Tal providência considera a relação desproporcional de custo de movimentação do processo judicial frente o valor recuperado, sendo despicienda a atuação do Poder Judiciário quando, através de outras vias, a Fazenda Pública pode buscar a quitação do débito, nos termos da Lei nº 12.767/2012.</w:t>
      </w:r>
    </w:p>
    <w:p w14:paraId="08513094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5D4852EF" w14:textId="7CFDDD17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Além disso, a decisão do Supremo Tribunal Federal foi proferida com base em dados estatísticos contidos no relatório feito pelo Conselho Nacional de Justiça, o qual apontou que há 27,3 milhões de execuções fiscais pendentes, ou seja, 1/3 de todos os processos judiciais do país. São ações com baixo percentual de resolutividade (apenas 12%) e com alto índice de temporalidade (média de 6 anos e 7 meses para encerrar).</w:t>
      </w:r>
    </w:p>
    <w:p w14:paraId="6CB2850E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28ACAC1A" w14:textId="3217AA66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Em outras palavras, execuções fiscais como esta são ações prejudiciais ao funcionamento do judiciário e aos cofres públicos, pois além de não gerar melhora na arrecadação do ente público, consome tempo útil e outros recursos de suas procuradorias, dado o grande volume de ações de baixo valor distribuídas.</w:t>
      </w:r>
    </w:p>
    <w:p w14:paraId="0A104861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6014762E" w14:textId="50F0EC63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Nesse sentido, o STF fixou as seguintes teses de julgamento no Tema 1.184:</w:t>
      </w:r>
    </w:p>
    <w:p w14:paraId="22307A4D" w14:textId="77777777" w:rsidR="00C25EB2" w:rsidRPr="009934FC" w:rsidRDefault="00C25EB2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</w:p>
    <w:p w14:paraId="797C07AB" w14:textId="45A969EE" w:rsidR="009934FC" w:rsidRPr="00C25EB2" w:rsidRDefault="009934FC" w:rsidP="00C25EB2">
      <w:pPr>
        <w:ind w:left="2835" w:right="-142"/>
        <w:jc w:val="both"/>
        <w:rPr>
          <w:rFonts w:ascii="Times New Roman" w:eastAsia="Malgun Gothic" w:hAnsi="Times New Roman"/>
          <w:b/>
          <w:bCs/>
          <w:sz w:val="23"/>
          <w:szCs w:val="23"/>
        </w:rPr>
      </w:pPr>
      <w:r w:rsidRPr="00C25EB2">
        <w:rPr>
          <w:rFonts w:ascii="Times New Roman" w:eastAsia="Malgun Gothic" w:hAnsi="Times New Roman"/>
          <w:b/>
          <w:bCs/>
          <w:sz w:val="23"/>
          <w:szCs w:val="23"/>
        </w:rPr>
        <w:t>(...) 1. É legítima a extinção de execução fiscal de baixo valor pela ausência de interesse de agir tendo em vista o princípio constitucional da eficiência administrativa, respeitada a competência constitucional de cada ente federado.</w:t>
      </w:r>
    </w:p>
    <w:p w14:paraId="611D38EF" w14:textId="5EE279A8" w:rsidR="009934FC" w:rsidRP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2. O ajuizamento da execução fiscal dependerá da prévia adoção das seguintes providências: a) tentativa de conciliação ou adoção de solução administrativa; e b) protesto do título, salvo por motivo de eficiência administrativa, comprovando-se a inadequação da medida.</w:t>
      </w:r>
    </w:p>
    <w:p w14:paraId="68F18DA3" w14:textId="15D389F3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sz w:val="23"/>
          <w:szCs w:val="23"/>
        </w:rPr>
        <w:t>3. O trâmite de ações de execução fiscal não impede os entes federados de pedirem a suspensão do processo para a adoção das medidas previstas no item 2, devendo, nesse caso, o juiz ser comunicado do prazo para as providências cabíveis. (...) (grifei)</w:t>
      </w:r>
    </w:p>
    <w:p w14:paraId="33568D09" w14:textId="798B1D57" w:rsidR="009934FC" w:rsidRPr="0054564B" w:rsidRDefault="009934FC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9934FC">
        <w:rPr>
          <w:rFonts w:ascii="Times New Roman" w:eastAsia="Malgun Gothic" w:hAnsi="Times New Roman"/>
          <w:sz w:val="23"/>
          <w:szCs w:val="23"/>
        </w:rPr>
        <w:t>Ademais, o Conselho Nacional de Justiça aprovou a Resolução n. 547</w:t>
      </w:r>
      <w:r w:rsidRPr="0054564B">
        <w:rPr>
          <w:rFonts w:ascii="Times New Roman" w:eastAsia="Malgun Gothic" w:hAnsi="Times New Roman"/>
          <w:sz w:val="22"/>
          <w:szCs w:val="22"/>
        </w:rPr>
        <w:t xml:space="preserve">, de 22 de fevereiro de 2024, que institui medidas de tratamento racional eficiente na tramitação das execuções fiscais pendentes no Poder Judiciário, a partir do julgamento do tema 1184 da repercussão geral pelo STF (Recurso Extraordinário 1.355.208, Rel. Min. </w:t>
      </w:r>
      <w:proofErr w:type="spellStart"/>
      <w:r w:rsidRPr="0054564B">
        <w:rPr>
          <w:rFonts w:ascii="Times New Roman" w:eastAsia="Malgun Gothic" w:hAnsi="Times New Roman"/>
          <w:sz w:val="22"/>
          <w:szCs w:val="22"/>
        </w:rPr>
        <w:t>Cármen</w:t>
      </w:r>
      <w:proofErr w:type="spellEnd"/>
      <w:r w:rsidRPr="0054564B">
        <w:rPr>
          <w:rFonts w:ascii="Times New Roman" w:eastAsia="Malgun Gothic" w:hAnsi="Times New Roman"/>
          <w:sz w:val="22"/>
          <w:szCs w:val="22"/>
        </w:rPr>
        <w:t xml:space="preserve"> Lúcia, j. 19/12/2023), acima citado.</w:t>
      </w:r>
    </w:p>
    <w:p w14:paraId="69FE2B50" w14:textId="77777777" w:rsidR="00C25EB2" w:rsidRDefault="00C25EB2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2ED8B221" w14:textId="7E21992C" w:rsidR="009934FC" w:rsidRDefault="009934FC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>Transcrevo abaixo os artigos de relevância para o presente caso:</w:t>
      </w:r>
    </w:p>
    <w:p w14:paraId="38746E67" w14:textId="77777777" w:rsidR="00C25EB2" w:rsidRPr="0054564B" w:rsidRDefault="00C25EB2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261E2CAC" w14:textId="77777777" w:rsidR="0054564B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 xml:space="preserve">(...) Art. 1º. É legítima a extinção de execução fiscal de baixo valor pela ausência de interesse de agir, tendo em vista o princípio </w:t>
      </w:r>
      <w:r w:rsidRPr="0054564B">
        <w:rPr>
          <w:rFonts w:ascii="Times New Roman" w:hAnsi="Times New Roman"/>
          <w:sz w:val="22"/>
          <w:szCs w:val="22"/>
        </w:rPr>
        <w:lastRenderedPageBreak/>
        <w:t>constitucional da eficiência administrativa, respeitada a competência constitucional de cada ente federado.</w:t>
      </w:r>
    </w:p>
    <w:p w14:paraId="3A0B64F9" w14:textId="3FF26F5E" w:rsidR="0054564B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1º. Deverão ser extintas as execuções fiscais de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VALOR INFERIOR A R$ 10.000,00 (DEZ MIL REAIS) QUANDO DO AJUIZAMENTO</w:t>
      </w:r>
      <w:r w:rsidRPr="0054564B">
        <w:rPr>
          <w:rFonts w:ascii="Times New Roman" w:hAnsi="Times New Roman"/>
          <w:sz w:val="22"/>
          <w:szCs w:val="22"/>
        </w:rPr>
        <w:t>, em que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não haja movimentação útil há mais de um ano sem citação</w:t>
      </w:r>
      <w:r w:rsidRPr="0054564B">
        <w:rPr>
          <w:rFonts w:ascii="Times New Roman" w:hAnsi="Times New Roman"/>
          <w:sz w:val="22"/>
          <w:szCs w:val="22"/>
        </w:rPr>
        <w:t> do executado ou, ainda que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citado, não tenham sido localizados bens penhoráveis</w:t>
      </w:r>
      <w:r w:rsidRPr="0054564B">
        <w:rPr>
          <w:rFonts w:ascii="Times New Roman" w:hAnsi="Times New Roman"/>
          <w:sz w:val="22"/>
          <w:szCs w:val="22"/>
        </w:rPr>
        <w:t>.</w:t>
      </w:r>
    </w:p>
    <w:p w14:paraId="622D86B0" w14:textId="77777777" w:rsidR="0054564B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2º. Para aferição do valor previsto no § 1º, em cada caso concreto, </w:t>
      </w:r>
      <w:r w:rsidRPr="0054564B">
        <w:rPr>
          <w:rFonts w:ascii="Times New Roman" w:hAnsi="Times New Roman"/>
          <w:b/>
          <w:bCs/>
          <w:sz w:val="22"/>
          <w:szCs w:val="22"/>
          <w:u w:val="single"/>
        </w:rPr>
        <w:t>deverão ser somados os valores de execuções que estejam apensadas e propostas em face do mesmo executado</w:t>
      </w:r>
      <w:r w:rsidRPr="0054564B">
        <w:rPr>
          <w:rFonts w:ascii="Times New Roman" w:hAnsi="Times New Roman"/>
          <w:sz w:val="22"/>
          <w:szCs w:val="22"/>
        </w:rPr>
        <w:t>.</w:t>
      </w:r>
    </w:p>
    <w:p w14:paraId="0794ECCD" w14:textId="77777777" w:rsidR="0054564B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3º. O disposto no § 1º não impede nova propositura da execução fiscal se forem encontrados bens do executado, desde que não consumada a prescrição.</w:t>
      </w:r>
    </w:p>
    <w:p w14:paraId="774D264C" w14:textId="77777777" w:rsidR="0054564B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4º. Na hipótese do § 3º, o prazo prescricional para nova propositura terá como termo inicial um ano após a data da ciência da Fazenda Pública a respeito da não localização do devedor ou da inexistência de bens penhoráveis no primeiro ajuizamento.</w:t>
      </w:r>
    </w:p>
    <w:p w14:paraId="311E54ED" w14:textId="05C08B9A" w:rsidR="009934FC" w:rsidRPr="0054564B" w:rsidRDefault="0054564B" w:rsidP="00C25EB2">
      <w:pPr>
        <w:ind w:left="2835" w:right="-142"/>
        <w:jc w:val="both"/>
        <w:rPr>
          <w:rFonts w:ascii="Times New Roman" w:hAnsi="Times New Roman"/>
          <w:sz w:val="22"/>
          <w:szCs w:val="22"/>
        </w:rPr>
      </w:pPr>
      <w:r w:rsidRPr="0054564B">
        <w:rPr>
          <w:rFonts w:ascii="Times New Roman" w:hAnsi="Times New Roman"/>
          <w:sz w:val="22"/>
          <w:szCs w:val="22"/>
        </w:rPr>
        <w:t>§ 5º. A Fazenda Pública poderá requerer nos autos a não aplicação, por até 90 (noventa) dias, do § 1º deste artigo, caso demonstre que, dentro desse prazo, poderá localizar bens do devedor. (...). (grifei).</w:t>
      </w:r>
    </w:p>
    <w:p w14:paraId="40372AEA" w14:textId="77777777" w:rsidR="00515025" w:rsidRDefault="00515025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</w:p>
    <w:p w14:paraId="339B6C8F" w14:textId="748C2A14" w:rsidR="00CA0D7D" w:rsidRPr="0054564B" w:rsidRDefault="009934FC" w:rsidP="00C25EB2">
      <w:pPr>
        <w:ind w:left="2835" w:right="-142"/>
        <w:jc w:val="both"/>
        <w:rPr>
          <w:rFonts w:ascii="Times New Roman" w:eastAsia="Malgun Gothic" w:hAnsi="Times New Roman"/>
          <w:sz w:val="22"/>
          <w:szCs w:val="22"/>
        </w:rPr>
      </w:pPr>
      <w:r w:rsidRPr="0054564B">
        <w:rPr>
          <w:rFonts w:ascii="Times New Roman" w:eastAsia="Malgun Gothic" w:hAnsi="Times New Roman"/>
          <w:sz w:val="22"/>
          <w:szCs w:val="22"/>
        </w:rPr>
        <w:t xml:space="preserve">Assim sendo, considerando que nosso sistema processual é regido por uma política de valorização dos precedentes, nos termos do artigo 926 do Código de Processo Civil, adoto a orientação do STF e Resolução n. 547/2024 do CNJ e </w:t>
      </w:r>
      <w:r w:rsidRPr="00C25EB2">
        <w:rPr>
          <w:rFonts w:ascii="Times New Roman" w:eastAsia="Malgun Gothic" w:hAnsi="Times New Roman"/>
          <w:b/>
          <w:bCs/>
          <w:sz w:val="22"/>
          <w:szCs w:val="22"/>
        </w:rPr>
        <w:t>promovo a extinção do feito, nos termos do art. 485, VI, do CPC.</w:t>
      </w:r>
      <w:r w:rsidR="00C25EB2" w:rsidRPr="00C25EB2">
        <w:rPr>
          <w:rFonts w:ascii="Times New Roman" w:eastAsia="Malgun Gothic" w:hAnsi="Times New Roman"/>
          <w:sz w:val="22"/>
          <w:szCs w:val="22"/>
        </w:rPr>
        <w:t xml:space="preserve"> [...]</w:t>
      </w:r>
      <w:r w:rsidR="00CA0D7D" w:rsidRPr="00C25EB2">
        <w:rPr>
          <w:rFonts w:ascii="Times New Roman" w:eastAsia="Malgun Gothic" w:hAnsi="Times New Roman"/>
          <w:sz w:val="22"/>
          <w:szCs w:val="22"/>
        </w:rPr>
        <w:t>”</w:t>
      </w:r>
    </w:p>
    <w:p w14:paraId="10E349B9" w14:textId="77777777" w:rsidR="00DA7055" w:rsidRPr="009934FC" w:rsidRDefault="00DA7055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7A8FF7E6" w14:textId="50F50980" w:rsidR="009B0675" w:rsidRPr="00515025" w:rsidRDefault="0054564B" w:rsidP="00E3320A">
      <w:pPr>
        <w:spacing w:line="360" w:lineRule="auto"/>
        <w:ind w:right="-142" w:firstLine="1134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eastAsia="Malgun Gothic" w:hAnsi="Times New Roman"/>
          <w:sz w:val="23"/>
          <w:szCs w:val="23"/>
        </w:rPr>
        <w:t xml:space="preserve">Não </w:t>
      </w:r>
      <w:r w:rsidR="00C036AA">
        <w:rPr>
          <w:rFonts w:ascii="Times New Roman" w:eastAsia="Malgun Gothic" w:hAnsi="Times New Roman"/>
          <w:sz w:val="23"/>
          <w:szCs w:val="23"/>
        </w:rPr>
        <w:t>trata o caso</w:t>
      </w:r>
      <w:r>
        <w:rPr>
          <w:rFonts w:ascii="Times New Roman" w:eastAsia="Malgun Gothic" w:hAnsi="Times New Roman"/>
          <w:sz w:val="23"/>
          <w:szCs w:val="23"/>
        </w:rPr>
        <w:t xml:space="preserve">, porém, de execução fiscal </w:t>
      </w:r>
      <w:r w:rsidRPr="00515025">
        <w:rPr>
          <w:rFonts w:ascii="Times New Roman" w:hAnsi="Times New Roman"/>
          <w:b/>
          <w:bCs/>
          <w:sz w:val="22"/>
          <w:szCs w:val="22"/>
        </w:rPr>
        <w:t>sem</w:t>
      </w:r>
      <w:r w:rsidRPr="00C036A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4564B">
        <w:rPr>
          <w:rFonts w:ascii="Times New Roman" w:hAnsi="Times New Roman"/>
          <w:b/>
          <w:bCs/>
          <w:sz w:val="22"/>
          <w:szCs w:val="22"/>
        </w:rPr>
        <w:t>movimentação útil</w:t>
      </w:r>
      <w:r w:rsidRPr="0054564B">
        <w:rPr>
          <w:rFonts w:ascii="Times New Roman" w:hAnsi="Times New Roman"/>
          <w:sz w:val="22"/>
          <w:szCs w:val="22"/>
        </w:rPr>
        <w:t xml:space="preserve"> há mais de um ano</w:t>
      </w:r>
      <w:r>
        <w:rPr>
          <w:rFonts w:ascii="Times New Roman" w:hAnsi="Times New Roman"/>
          <w:sz w:val="22"/>
          <w:szCs w:val="22"/>
        </w:rPr>
        <w:t>, pois</w:t>
      </w:r>
      <w:r w:rsidR="00515025" w:rsidRPr="0051502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o ID 125351716 informa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que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foi realizada a citação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da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pessoa jurídica executada há menos de um ano na pessoa do </w:t>
      </w:r>
      <w:proofErr w:type="spellStart"/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sócio-administrador</w:t>
      </w:r>
      <w:proofErr w:type="spellEnd"/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, há pedido de redirecionamento da execução fiscal no ID 122223309 (pendente de análise pelo Juízo), e o próximo passo seria o pedido de realização de penhora dos bens da pessoa jurídica executada e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do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respectivo responsável.</w:t>
      </w:r>
    </w:p>
    <w:p w14:paraId="279BEE65" w14:textId="77777777" w:rsidR="00C036AA" w:rsidRDefault="00C036AA" w:rsidP="00E3320A">
      <w:pPr>
        <w:spacing w:line="360" w:lineRule="auto"/>
        <w:ind w:right="-142" w:firstLine="1134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4A6EAC9" w14:textId="2686FD37" w:rsidR="00C036AA" w:rsidRPr="00C036AA" w:rsidRDefault="00515025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  <w:r>
        <w:rPr>
          <w:rFonts w:ascii="Times New Roman" w:hAnsi="Times New Roman"/>
          <w:sz w:val="22"/>
          <w:szCs w:val="22"/>
        </w:rPr>
        <w:t>O Juízo d</w:t>
      </w:r>
      <w:r w:rsidR="00C036AA" w:rsidRPr="00C036AA">
        <w:rPr>
          <w:rFonts w:ascii="Times New Roman" w:hAnsi="Times New Roman"/>
          <w:sz w:val="22"/>
          <w:szCs w:val="22"/>
        </w:rPr>
        <w:t>esrespeitou-se o posicionamento adotado pelo</w:t>
      </w:r>
      <w:r w:rsidR="00C036AA">
        <w:rPr>
          <w:rFonts w:ascii="Times New Roman" w:hAnsi="Times New Roman"/>
          <w:sz w:val="22"/>
          <w:szCs w:val="22"/>
        </w:rPr>
        <w:t xml:space="preserve"> próprio</w:t>
      </w:r>
      <w:r w:rsidR="00C036AA" w:rsidRPr="00C036AA">
        <w:rPr>
          <w:rFonts w:ascii="Times New Roman" w:hAnsi="Times New Roman"/>
          <w:sz w:val="22"/>
          <w:szCs w:val="22"/>
        </w:rPr>
        <w:t xml:space="preserve"> CNJ</w:t>
      </w:r>
      <w:r>
        <w:rPr>
          <w:rFonts w:ascii="Times New Roman" w:hAnsi="Times New Roman"/>
          <w:sz w:val="22"/>
          <w:szCs w:val="22"/>
        </w:rPr>
        <w:t>.</w:t>
      </w:r>
    </w:p>
    <w:p w14:paraId="00262D84" w14:textId="77777777" w:rsidR="00302171" w:rsidRPr="009934FC" w:rsidRDefault="00302171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sz w:val="23"/>
          <w:szCs w:val="23"/>
        </w:rPr>
      </w:pPr>
    </w:p>
    <w:p w14:paraId="53ACD746" w14:textId="1AA982E9" w:rsidR="00DA7055" w:rsidRPr="009934FC" w:rsidRDefault="002330DB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sz w:val="23"/>
          <w:szCs w:val="23"/>
        </w:rPr>
        <w:t>III - DO DIREITO</w:t>
      </w:r>
    </w:p>
    <w:p w14:paraId="740FDE30" w14:textId="1C09EC81" w:rsidR="00CA0D7D" w:rsidRPr="009934FC" w:rsidRDefault="00CA0D7D" w:rsidP="00E3320A">
      <w:pPr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</w:p>
    <w:p w14:paraId="57AAB6B2" w14:textId="6D0DBD21" w:rsidR="0054564B" w:rsidRDefault="0054564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Dispõe a </w:t>
      </w:r>
      <w:r w:rsidRPr="009934FC">
        <w:rPr>
          <w:rFonts w:ascii="Times New Roman" w:eastAsia="Malgun Gothic" w:hAnsi="Times New Roman"/>
          <w:sz w:val="23"/>
          <w:szCs w:val="23"/>
        </w:rPr>
        <w:t>Resolução n. 547</w:t>
      </w:r>
      <w:r>
        <w:rPr>
          <w:rFonts w:ascii="Times New Roman" w:eastAsia="Malgun Gothic" w:hAnsi="Times New Roman"/>
          <w:sz w:val="23"/>
          <w:szCs w:val="23"/>
        </w:rPr>
        <w:t>/CNJ</w:t>
      </w:r>
      <w:r w:rsidRPr="009934FC">
        <w:rPr>
          <w:rFonts w:ascii="Times New Roman" w:eastAsia="Malgun Gothic" w:hAnsi="Times New Roman"/>
          <w:sz w:val="23"/>
          <w:szCs w:val="23"/>
        </w:rPr>
        <w:t>, de 22 de fevereiro de 2024</w:t>
      </w:r>
      <w:r>
        <w:rPr>
          <w:rFonts w:ascii="Times New Roman" w:eastAsia="Malgun Gothic" w:hAnsi="Times New Roman"/>
          <w:sz w:val="23"/>
          <w:szCs w:val="23"/>
        </w:rPr>
        <w:t xml:space="preserve">, que </w:t>
      </w:r>
      <w:r>
        <w:rPr>
          <w:rFonts w:ascii="Times New Roman" w:eastAsia="Malgun Gothic" w:hAnsi="Times New Roman"/>
          <w:bCs/>
          <w:sz w:val="23"/>
          <w:szCs w:val="23"/>
        </w:rPr>
        <w:t>“</w:t>
      </w:r>
      <w:r w:rsidRPr="0054564B">
        <w:rPr>
          <w:rFonts w:ascii="Times New Roman" w:eastAsia="Malgun Gothic" w:hAnsi="Times New Roman"/>
          <w:bCs/>
          <w:sz w:val="23"/>
          <w:szCs w:val="23"/>
        </w:rPr>
        <w:t xml:space="preserve">Deverão ser extintas as execuções fiscais de valor inferior a R$ 10.000,00 (dez mil reais) quando do ajuizamento, </w:t>
      </w:r>
      <w:r w:rsidRPr="0054564B">
        <w:rPr>
          <w:rFonts w:ascii="Times New Roman" w:eastAsia="Malgun Gothic" w:hAnsi="Times New Roman"/>
          <w:b/>
          <w:sz w:val="23"/>
          <w:szCs w:val="23"/>
          <w:u w:val="single"/>
        </w:rPr>
        <w:t>em que não haja movimentação útil há mais de um ano</w:t>
      </w:r>
      <w:r w:rsidRPr="0054564B">
        <w:rPr>
          <w:rFonts w:ascii="Times New Roman" w:eastAsia="Malgun Gothic" w:hAnsi="Times New Roman"/>
          <w:bCs/>
          <w:sz w:val="23"/>
          <w:szCs w:val="23"/>
        </w:rPr>
        <w:t xml:space="preserve"> sem citação do executado ou, ainda que citado, não tenham sido localizados bens penhoráveis</w:t>
      </w:r>
      <w:r w:rsidR="00C036AA">
        <w:rPr>
          <w:rFonts w:ascii="Times New Roman" w:eastAsia="Malgun Gothic" w:hAnsi="Times New Roman"/>
          <w:bCs/>
          <w:sz w:val="23"/>
          <w:szCs w:val="23"/>
        </w:rPr>
        <w:t>”</w:t>
      </w:r>
      <w:r w:rsidRPr="0054564B">
        <w:rPr>
          <w:rFonts w:ascii="Times New Roman" w:eastAsia="Malgun Gothic" w:hAnsi="Times New Roman"/>
          <w:bCs/>
          <w:sz w:val="23"/>
          <w:szCs w:val="23"/>
        </w:rPr>
        <w:t>.</w:t>
      </w:r>
    </w:p>
    <w:p w14:paraId="042570D8" w14:textId="77777777" w:rsidR="0054564B" w:rsidRDefault="0054564B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452573A1" w14:textId="4514CC40" w:rsidR="00515025" w:rsidRPr="00515025" w:rsidRDefault="0054564B" w:rsidP="00515025">
      <w:pPr>
        <w:spacing w:line="360" w:lineRule="auto"/>
        <w:ind w:right="-142" w:firstLine="1134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No caso,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o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 ID 125351716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 informa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que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foi realizada a citação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da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pessoa jurídica executada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há menos de um ano na pessoa do </w:t>
      </w:r>
      <w:proofErr w:type="spellStart"/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sócio-administrador</w:t>
      </w:r>
      <w:proofErr w:type="spellEnd"/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, há pedido de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 xml:space="preserve">redirecionamento da execução fiscal no ID 122223309 (pendente de análise pelo Juízo), e o próximo passo seria o pedido de realização de penhora dos bens da pessoa jurídica executada e </w:t>
      </w:r>
      <w:r w:rsidR="00515025">
        <w:rPr>
          <w:rFonts w:ascii="Times New Roman" w:hAnsi="Times New Roman"/>
          <w:b/>
          <w:bCs/>
          <w:sz w:val="22"/>
          <w:szCs w:val="22"/>
          <w:u w:val="single"/>
        </w:rPr>
        <w:t xml:space="preserve">do </w:t>
      </w:r>
      <w:r w:rsidR="00515025" w:rsidRPr="00515025">
        <w:rPr>
          <w:rFonts w:ascii="Times New Roman" w:hAnsi="Times New Roman"/>
          <w:b/>
          <w:bCs/>
          <w:sz w:val="22"/>
          <w:szCs w:val="22"/>
          <w:u w:val="single"/>
        </w:rPr>
        <w:t>respectivo responsável.</w:t>
      </w:r>
    </w:p>
    <w:p w14:paraId="5CC85EE5" w14:textId="77777777" w:rsidR="00F90CB2" w:rsidRDefault="00F90CB2" w:rsidP="00515025">
      <w:pPr>
        <w:spacing w:line="360" w:lineRule="auto"/>
        <w:ind w:right="-142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23927540" w14:textId="0B0443F0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 xml:space="preserve">Portanto, deve ser </w:t>
      </w:r>
      <w:r w:rsidR="00F90CB2">
        <w:rPr>
          <w:rFonts w:ascii="Times New Roman" w:eastAsia="Malgun Gothic" w:hAnsi="Times New Roman"/>
          <w:bCs/>
          <w:sz w:val="23"/>
          <w:szCs w:val="23"/>
        </w:rPr>
        <w:t>cassada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a sentença.</w:t>
      </w:r>
    </w:p>
    <w:p w14:paraId="28715BD0" w14:textId="77777777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59410281" w14:textId="1BD01664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Registro que</w:t>
      </w:r>
      <w:r w:rsidR="00F90CB2">
        <w:rPr>
          <w:rFonts w:ascii="Times New Roman" w:eastAsia="Malgun Gothic" w:hAnsi="Times New Roman"/>
          <w:bCs/>
          <w:sz w:val="23"/>
          <w:szCs w:val="23"/>
        </w:rPr>
        <w:t>, na legislação vigente,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o Município de Sapezal possui métodos extrajudiciais de cobrança da dívida ativa, a exemplo da </w:t>
      </w: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inscrição nos cadastros de inadimplentes </w:t>
      </w:r>
      <w:r>
        <w:rPr>
          <w:rFonts w:ascii="Times New Roman" w:eastAsia="Malgun Gothic" w:hAnsi="Times New Roman"/>
          <w:bCs/>
          <w:sz w:val="23"/>
          <w:szCs w:val="23"/>
        </w:rPr>
        <w:t xml:space="preserve">e </w:t>
      </w:r>
      <w:r w:rsidRPr="000849BA">
        <w:rPr>
          <w:rFonts w:ascii="Times New Roman" w:eastAsia="Malgun Gothic" w:hAnsi="Times New Roman"/>
          <w:bCs/>
          <w:sz w:val="23"/>
          <w:szCs w:val="23"/>
        </w:rPr>
        <w:t>protesto extrajudicial no cartório competente</w:t>
      </w:r>
      <w:r>
        <w:rPr>
          <w:rFonts w:ascii="Times New Roman" w:eastAsia="Malgun Gothic" w:hAnsi="Times New Roman"/>
          <w:bCs/>
          <w:sz w:val="23"/>
          <w:szCs w:val="23"/>
        </w:rPr>
        <w:t>,</w:t>
      </w:r>
      <w:r w:rsidR="00F90CB2">
        <w:rPr>
          <w:rFonts w:ascii="Times New Roman" w:eastAsia="Malgun Gothic" w:hAnsi="Times New Roman"/>
          <w:bCs/>
          <w:sz w:val="23"/>
          <w:szCs w:val="23"/>
        </w:rPr>
        <w:t xml:space="preserve"> medidas que devem ser anteriores à execução fiscal,</w:t>
      </w:r>
      <w:r>
        <w:rPr>
          <w:rFonts w:ascii="Times New Roman" w:eastAsia="Malgun Gothic" w:hAnsi="Times New Roman"/>
          <w:bCs/>
          <w:sz w:val="23"/>
          <w:szCs w:val="23"/>
        </w:rPr>
        <w:t xml:space="preserve"> </w:t>
      </w:r>
      <w:r w:rsidRPr="000849BA">
        <w:rPr>
          <w:rFonts w:ascii="Times New Roman" w:eastAsia="Malgun Gothic" w:hAnsi="Times New Roman"/>
          <w:bCs/>
          <w:i/>
          <w:iCs/>
          <w:sz w:val="23"/>
          <w:szCs w:val="23"/>
        </w:rPr>
        <w:t xml:space="preserve">in </w:t>
      </w:r>
      <w:proofErr w:type="spellStart"/>
      <w:r w:rsidRPr="000849BA">
        <w:rPr>
          <w:rFonts w:ascii="Times New Roman" w:eastAsia="Malgun Gothic" w:hAnsi="Times New Roman"/>
          <w:bCs/>
          <w:i/>
          <w:iCs/>
          <w:sz w:val="23"/>
          <w:szCs w:val="23"/>
        </w:rPr>
        <w:t>verbis</w:t>
      </w:r>
      <w:proofErr w:type="spellEnd"/>
      <w:r>
        <w:rPr>
          <w:rFonts w:ascii="Times New Roman" w:eastAsia="Malgun Gothic" w:hAnsi="Times New Roman"/>
          <w:bCs/>
          <w:sz w:val="23"/>
          <w:szCs w:val="23"/>
        </w:rPr>
        <w:t>:</w:t>
      </w:r>
    </w:p>
    <w:p w14:paraId="47B61992" w14:textId="77777777" w:rsidR="000849BA" w:rsidRDefault="000849BA" w:rsidP="00E3320A">
      <w:pPr>
        <w:spacing w:line="360" w:lineRule="auto"/>
        <w:ind w:right="-142" w:firstLine="1134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1E367FE9" w14:textId="77777777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“Lei Municipal n° 50/97</w:t>
      </w:r>
    </w:p>
    <w:p w14:paraId="434D2933" w14:textId="14E3D965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>
        <w:rPr>
          <w:rFonts w:ascii="Times New Roman" w:eastAsia="Malgun Gothic" w:hAnsi="Times New Roman"/>
          <w:bCs/>
          <w:sz w:val="23"/>
          <w:szCs w:val="23"/>
        </w:rPr>
        <w:t>[...]</w:t>
      </w:r>
    </w:p>
    <w:p w14:paraId="6164CBA8" w14:textId="0417A301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Art. 188-A Fica o Poder Executivo autorizado a utilizar meios extrajudiciais de cobrança dos créditos inscritos em dívida ativa, </w:t>
      </w:r>
      <w:proofErr w:type="spellStart"/>
      <w:r w:rsidRPr="000849BA">
        <w:rPr>
          <w:rFonts w:ascii="Times New Roman" w:eastAsia="Malgun Gothic" w:hAnsi="Times New Roman"/>
          <w:bCs/>
          <w:sz w:val="23"/>
          <w:szCs w:val="23"/>
        </w:rPr>
        <w:t>independente</w:t>
      </w:r>
      <w:proofErr w:type="spell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de sua natureza.</w:t>
      </w:r>
    </w:p>
    <w:p w14:paraId="73EA8D6C" w14:textId="19D51064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§ 1º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As medidas de cobrança de dívida ativa observará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a seguinte ordem:</w:t>
      </w:r>
    </w:p>
    <w:p w14:paraId="28A5F170" w14:textId="1DE29A8E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I -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inscrição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nos cadastros de inadimplentes e de proteção ao crédito;</w:t>
      </w:r>
    </w:p>
    <w:p w14:paraId="1508D829" w14:textId="19500557" w:rsidR="000849BA" w:rsidRP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II - </w:t>
      </w:r>
      <w:proofErr w:type="gramStart"/>
      <w:r w:rsidRPr="000849BA">
        <w:rPr>
          <w:rFonts w:ascii="Times New Roman" w:eastAsia="Malgun Gothic" w:hAnsi="Times New Roman"/>
          <w:bCs/>
          <w:sz w:val="23"/>
          <w:szCs w:val="23"/>
        </w:rPr>
        <w:t>protesto</w:t>
      </w:r>
      <w:proofErr w:type="gramEnd"/>
      <w:r w:rsidRPr="000849BA">
        <w:rPr>
          <w:rFonts w:ascii="Times New Roman" w:eastAsia="Malgun Gothic" w:hAnsi="Times New Roman"/>
          <w:bCs/>
          <w:sz w:val="23"/>
          <w:szCs w:val="23"/>
        </w:rPr>
        <w:t xml:space="preserve"> extrajudicial no cartório competente; e</w:t>
      </w:r>
    </w:p>
    <w:p w14:paraId="16B6DE9D" w14:textId="77777777" w:rsidR="000849BA" w:rsidRDefault="000849BA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  <w:r w:rsidRPr="000849BA">
        <w:rPr>
          <w:rFonts w:ascii="Times New Roman" w:eastAsia="Malgun Gothic" w:hAnsi="Times New Roman"/>
          <w:bCs/>
          <w:sz w:val="23"/>
          <w:szCs w:val="23"/>
        </w:rPr>
        <w:t>III - Execução judicial.</w:t>
      </w:r>
      <w:r>
        <w:rPr>
          <w:rFonts w:ascii="Times New Roman" w:eastAsia="Malgun Gothic" w:hAnsi="Times New Roman"/>
          <w:bCs/>
          <w:sz w:val="23"/>
          <w:szCs w:val="23"/>
        </w:rPr>
        <w:t>”</w:t>
      </w:r>
    </w:p>
    <w:p w14:paraId="7420A37C" w14:textId="77777777" w:rsidR="00F90CB2" w:rsidRDefault="00F90CB2" w:rsidP="00E3320A">
      <w:pPr>
        <w:ind w:left="2268" w:right="-142"/>
        <w:jc w:val="both"/>
        <w:rPr>
          <w:rFonts w:ascii="Times New Roman" w:eastAsia="Malgun Gothic" w:hAnsi="Times New Roman"/>
          <w:bCs/>
          <w:sz w:val="23"/>
          <w:szCs w:val="23"/>
        </w:rPr>
      </w:pPr>
    </w:p>
    <w:p w14:paraId="7EFDD1FE" w14:textId="77A88302" w:rsidR="00EB121D" w:rsidRPr="000849BA" w:rsidRDefault="0005583F" w:rsidP="00E3320A">
      <w:pPr>
        <w:ind w:left="142" w:right="-142"/>
        <w:jc w:val="center"/>
        <w:rPr>
          <w:rFonts w:ascii="Times New Roman" w:eastAsia="Malgun Gothic" w:hAnsi="Times New Roman"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I</w:t>
      </w:r>
      <w:r w:rsidR="00F25E8E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V</w:t>
      </w:r>
      <w:r w:rsidR="00EB121D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- </w:t>
      </w:r>
      <w:r w:rsidR="00EB121D" w:rsidRPr="009934FC">
        <w:rPr>
          <w:rFonts w:ascii="Times New Roman" w:eastAsia="Malgun Gothic" w:hAnsi="Times New Roman"/>
          <w:b/>
          <w:color w:val="000000"/>
          <w:sz w:val="23"/>
          <w:szCs w:val="23"/>
          <w:u w:val="single"/>
          <w:shd w:val="clear" w:color="auto" w:fill="FFFFFF"/>
        </w:rPr>
        <w:t>DOS PEDIDOS</w:t>
      </w:r>
      <w:r w:rsidR="00F25E8E"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:</w:t>
      </w:r>
    </w:p>
    <w:p w14:paraId="6A6E032B" w14:textId="77777777" w:rsidR="00E306E5" w:rsidRPr="009934FC" w:rsidRDefault="00E306E5" w:rsidP="00E3320A">
      <w:pPr>
        <w:tabs>
          <w:tab w:val="left" w:pos="-567"/>
          <w:tab w:val="left" w:pos="2749"/>
        </w:tabs>
        <w:spacing w:line="360" w:lineRule="auto"/>
        <w:ind w:left="-567" w:right="-142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</w:p>
    <w:p w14:paraId="5743F339" w14:textId="6488C278" w:rsidR="00FA6137" w:rsidRPr="009934FC" w:rsidRDefault="00CD1276" w:rsidP="00E3320A">
      <w:pPr>
        <w:tabs>
          <w:tab w:val="left" w:pos="0"/>
          <w:tab w:val="left" w:pos="2749"/>
        </w:tabs>
        <w:spacing w:line="360" w:lineRule="auto"/>
        <w:ind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Pelos argumentos expostos</w:t>
      </w:r>
      <w:r w:rsidR="00EB121D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, requer-se:</w:t>
      </w:r>
    </w:p>
    <w:p w14:paraId="1C68958C" w14:textId="053AAC51" w:rsidR="007C4D8A" w:rsidRPr="00E3320A" w:rsidRDefault="00EB121D" w:rsidP="00E3320A">
      <w:pPr>
        <w:pStyle w:val="PargrafodaLista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0"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O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RECEBIMENTO</w:t>
      </w:r>
      <w:r w:rsidR="00636C11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e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PROCESSAMENTO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A64CCA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do presente </w:t>
      </w:r>
      <w:r w:rsidR="00F90CB2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R</w:t>
      </w:r>
      <w:r w:rsidR="00A64CCA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ecurso de Apelação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;</w:t>
      </w:r>
    </w:p>
    <w:p w14:paraId="2360CF04" w14:textId="447C903E" w:rsidR="00F90CB2" w:rsidRDefault="005E394D" w:rsidP="00F90CB2">
      <w:pPr>
        <w:pStyle w:val="PargrafodaLista"/>
        <w:numPr>
          <w:ilvl w:val="0"/>
          <w:numId w:val="1"/>
        </w:numPr>
        <w:tabs>
          <w:tab w:val="left" w:pos="0"/>
        </w:tabs>
        <w:spacing w:line="360" w:lineRule="auto"/>
        <w:ind w:left="0" w:right="-142" w:firstLine="1134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Seu 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PROVIMENTO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para</w:t>
      </w:r>
      <w:r w:rsidRPr="009934FC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F90CB2" w:rsidRPr="00F90CB2">
        <w:rPr>
          <w:rFonts w:ascii="Times New Roman" w:eastAsia="Malgun Gothic" w:hAnsi="Times New Roman"/>
          <w:bCs/>
          <w:color w:val="000000"/>
          <w:sz w:val="23"/>
          <w:szCs w:val="23"/>
          <w:shd w:val="clear" w:color="auto" w:fill="FFFFFF"/>
        </w:rPr>
        <w:t>a</w:t>
      </w:r>
      <w:r w:rsidR="00F90CB2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0849BA">
        <w:rPr>
          <w:rFonts w:ascii="Times New Roman" w:eastAsia="Malgun Gothic" w:hAnsi="Times New Roman"/>
          <w:b/>
          <w:color w:val="000000"/>
          <w:sz w:val="23"/>
          <w:szCs w:val="23"/>
          <w:shd w:val="clear" w:color="auto" w:fill="FFFFFF"/>
        </w:rPr>
        <w:t>CASSAÇÃO</w:t>
      </w:r>
      <w:r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F90CB2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d</w:t>
      </w:r>
      <w:r w:rsidR="008D6048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a sentença</w:t>
      </w:r>
      <w:r w:rsidR="008C6D4F" w:rsidRPr="009934FC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0849BA"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  <w:t>determinando o prosseguimento da execução fiscal.</w:t>
      </w:r>
    </w:p>
    <w:p w14:paraId="6947322F" w14:textId="77777777" w:rsidR="00F90CB2" w:rsidRPr="00F90CB2" w:rsidRDefault="00F90CB2" w:rsidP="00F90CB2">
      <w:pPr>
        <w:pStyle w:val="PargrafodaLista"/>
        <w:tabs>
          <w:tab w:val="left" w:pos="0"/>
        </w:tabs>
        <w:spacing w:line="360" w:lineRule="auto"/>
        <w:ind w:left="1134" w:right="-142"/>
        <w:jc w:val="both"/>
        <w:rPr>
          <w:rFonts w:ascii="Times New Roman" w:eastAsia="Malgun Gothic" w:hAnsi="Times New Roman"/>
          <w:color w:val="000000"/>
          <w:sz w:val="23"/>
          <w:szCs w:val="23"/>
          <w:shd w:val="clear" w:color="auto" w:fill="FFFFFF"/>
        </w:rPr>
      </w:pPr>
    </w:p>
    <w:p w14:paraId="383BF6F5" w14:textId="77777777" w:rsidR="00EB121D" w:rsidRPr="009934FC" w:rsidRDefault="00EB121D" w:rsidP="00E3320A">
      <w:pPr>
        <w:tabs>
          <w:tab w:val="left" w:pos="-567"/>
        </w:tabs>
        <w:spacing w:line="360" w:lineRule="auto"/>
        <w:ind w:left="1134" w:right="-142"/>
        <w:rPr>
          <w:rFonts w:ascii="Times New Roman" w:eastAsia="Malgun Gothic" w:hAnsi="Times New Roman"/>
          <w:bCs/>
          <w:sz w:val="23"/>
          <w:szCs w:val="23"/>
        </w:rPr>
      </w:pPr>
      <w:r w:rsidRPr="009934FC">
        <w:rPr>
          <w:rFonts w:ascii="Times New Roman" w:eastAsia="Malgun Gothic" w:hAnsi="Times New Roman"/>
          <w:bCs/>
          <w:sz w:val="23"/>
          <w:szCs w:val="23"/>
        </w:rPr>
        <w:t>Termos em</w:t>
      </w:r>
      <w:r w:rsidR="00894375" w:rsidRPr="009934FC">
        <w:rPr>
          <w:rFonts w:ascii="Times New Roman" w:eastAsia="Malgun Gothic" w:hAnsi="Times New Roman"/>
          <w:bCs/>
          <w:sz w:val="23"/>
          <w:szCs w:val="23"/>
        </w:rPr>
        <w:t xml:space="preserve"> que</w:t>
      </w:r>
      <w:r w:rsidRPr="009934FC">
        <w:rPr>
          <w:rFonts w:ascii="Times New Roman" w:eastAsia="Malgun Gothic" w:hAnsi="Times New Roman"/>
          <w:bCs/>
          <w:sz w:val="23"/>
          <w:szCs w:val="23"/>
        </w:rPr>
        <w:t xml:space="preserve"> espera deferimento.</w:t>
      </w:r>
    </w:p>
    <w:p w14:paraId="6F7DE939" w14:textId="77777777" w:rsidR="00E52BE9" w:rsidRPr="009934FC" w:rsidRDefault="00E52BE9" w:rsidP="00E3320A">
      <w:pPr>
        <w:tabs>
          <w:tab w:val="left" w:pos="-567"/>
          <w:tab w:val="left" w:pos="0"/>
        </w:tabs>
        <w:spacing w:line="360" w:lineRule="auto"/>
        <w:ind w:right="-142"/>
        <w:jc w:val="right"/>
        <w:outlineLvl w:val="0"/>
        <w:rPr>
          <w:rFonts w:ascii="Times New Roman" w:eastAsia="Malgun Gothic" w:hAnsi="Times New Roman"/>
          <w:bCs/>
          <w:sz w:val="23"/>
          <w:szCs w:val="23"/>
        </w:rPr>
      </w:pPr>
    </w:p>
    <w:p w14:paraId="4C690FD7" w14:textId="55A80808" w:rsidR="00EB121D" w:rsidRPr="009934FC" w:rsidRDefault="00101C6C" w:rsidP="00E3320A">
      <w:pPr>
        <w:spacing w:line="360" w:lineRule="auto"/>
        <w:ind w:right="-142"/>
        <w:jc w:val="right"/>
        <w:rPr>
          <w:rFonts w:ascii="Times New Roman" w:eastAsia="Malgun Gothic" w:hAnsi="Times New Roman"/>
          <w:sz w:val="23"/>
          <w:szCs w:val="23"/>
        </w:rPr>
      </w:pPr>
      <w:r w:rsidRPr="009934FC">
        <w:rPr>
          <w:rFonts w:ascii="Times New Roman" w:eastAsia="Malgun Gothic" w:hAnsi="Times New Roman"/>
          <w:bCs/>
          <w:sz w:val="23"/>
          <w:szCs w:val="23"/>
        </w:rPr>
        <w:t xml:space="preserve">Sapezal/MT, </w:t>
      </w:r>
      <w:r w:rsidR="00E3320A">
        <w:rPr>
          <w:rFonts w:ascii="Times New Roman" w:eastAsia="Malgun Gothic" w:hAnsi="Times New Roman"/>
          <w:sz w:val="23"/>
          <w:szCs w:val="23"/>
        </w:rPr>
        <w:t>data registrada eletronicamente,</w:t>
      </w:r>
    </w:p>
    <w:p w14:paraId="759186BD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rPr>
          <w:rFonts w:ascii="Times New Roman" w:eastAsia="Malgun Gothic" w:hAnsi="Times New Roman"/>
          <w:bCs/>
          <w:sz w:val="23"/>
          <w:szCs w:val="23"/>
        </w:rPr>
      </w:pPr>
    </w:p>
    <w:p w14:paraId="6AEB067B" w14:textId="5B0CB74F" w:rsidR="004C6996" w:rsidRPr="009934FC" w:rsidRDefault="007433B1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Cs/>
          <w:i/>
          <w:iCs/>
          <w:sz w:val="23"/>
          <w:szCs w:val="23"/>
        </w:rPr>
      </w:pPr>
      <w:r w:rsidRPr="009934FC">
        <w:rPr>
          <w:rFonts w:ascii="Times New Roman" w:eastAsia="Malgun Gothic" w:hAnsi="Times New Roman"/>
          <w:bCs/>
          <w:i/>
          <w:iCs/>
          <w:sz w:val="23"/>
          <w:szCs w:val="23"/>
        </w:rPr>
        <w:t>(assinatura eletrônica)</w:t>
      </w:r>
    </w:p>
    <w:p w14:paraId="55648668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JOSÉ APARECIDO DE OLIVEIRA JUNIOR</w:t>
      </w:r>
    </w:p>
    <w:p w14:paraId="0C852903" w14:textId="77777777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bCs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Procurador Municipal</w:t>
      </w:r>
    </w:p>
    <w:p w14:paraId="6B831AC6" w14:textId="26E00B43" w:rsidR="00EB121D" w:rsidRPr="009934FC" w:rsidRDefault="00EB121D" w:rsidP="00E3320A">
      <w:pPr>
        <w:tabs>
          <w:tab w:val="left" w:pos="-567"/>
          <w:tab w:val="left" w:pos="0"/>
        </w:tabs>
        <w:spacing w:line="360" w:lineRule="auto"/>
        <w:ind w:right="-142"/>
        <w:jc w:val="center"/>
        <w:rPr>
          <w:rFonts w:ascii="Times New Roman" w:eastAsia="Malgun Gothic" w:hAnsi="Times New Roman"/>
          <w:b/>
          <w:sz w:val="23"/>
          <w:szCs w:val="23"/>
        </w:rPr>
      </w:pPr>
      <w:r w:rsidRPr="009934FC">
        <w:rPr>
          <w:rFonts w:ascii="Times New Roman" w:eastAsia="Malgun Gothic" w:hAnsi="Times New Roman"/>
          <w:b/>
          <w:bCs/>
          <w:sz w:val="23"/>
          <w:szCs w:val="23"/>
        </w:rPr>
        <w:t>Matr</w:t>
      </w:r>
      <w:r w:rsidR="00345F46" w:rsidRPr="009934FC">
        <w:rPr>
          <w:rFonts w:ascii="Times New Roman" w:eastAsia="Malgun Gothic" w:hAnsi="Times New Roman"/>
          <w:b/>
          <w:bCs/>
          <w:sz w:val="23"/>
          <w:szCs w:val="23"/>
        </w:rPr>
        <w:t>í</w:t>
      </w:r>
      <w:r w:rsidRPr="009934FC">
        <w:rPr>
          <w:rFonts w:ascii="Times New Roman" w:eastAsia="Malgun Gothic" w:hAnsi="Times New Roman"/>
          <w:b/>
          <w:bCs/>
          <w:sz w:val="23"/>
          <w:szCs w:val="23"/>
        </w:rPr>
        <w:t>cula n° 3667</w:t>
      </w:r>
    </w:p>
    <w:sectPr w:rsidR="00EB121D" w:rsidRPr="009934FC" w:rsidSect="00362194">
      <w:headerReference w:type="default" r:id="rId9"/>
      <w:footerReference w:type="default" r:id="rId10"/>
      <w:pgSz w:w="11906" w:h="16838"/>
      <w:pgMar w:top="2410" w:right="1416" w:bottom="851" w:left="1701" w:header="284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6C10" w14:textId="77777777" w:rsidR="00362194" w:rsidRDefault="00362194" w:rsidP="00990A9B">
      <w:r>
        <w:separator/>
      </w:r>
    </w:p>
  </w:endnote>
  <w:endnote w:type="continuationSeparator" w:id="0">
    <w:p w14:paraId="03903232" w14:textId="77777777" w:rsidR="00362194" w:rsidRDefault="00362194" w:rsidP="009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E37E" w14:textId="0E59FF28" w:rsidR="007433B1" w:rsidRPr="009934FC" w:rsidRDefault="00935DD5" w:rsidP="00B773E4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9934FC">
      <w:rPr>
        <w:rFonts w:ascii="Times New Roman" w:hAnsi="Times New Roman"/>
        <w:bCs/>
        <w:sz w:val="18"/>
        <w:szCs w:val="18"/>
      </w:rPr>
      <w:t>Av. Ant</w:t>
    </w:r>
    <w:r w:rsidR="007433B1" w:rsidRPr="009934FC">
      <w:rPr>
        <w:rFonts w:ascii="Times New Roman" w:hAnsi="Times New Roman"/>
        <w:bCs/>
        <w:sz w:val="18"/>
        <w:szCs w:val="18"/>
      </w:rPr>
      <w:t>ô</w:t>
    </w:r>
    <w:r w:rsidRPr="009934FC">
      <w:rPr>
        <w:rFonts w:ascii="Times New Roman" w:hAnsi="Times New Roman"/>
        <w:bCs/>
        <w:sz w:val="18"/>
        <w:szCs w:val="18"/>
      </w:rPr>
      <w:t xml:space="preserve">nio André Maggi, nº 1.400 </w:t>
    </w:r>
    <w:r w:rsidR="007433B1" w:rsidRPr="009934FC">
      <w:rPr>
        <w:rFonts w:ascii="Times New Roman" w:hAnsi="Times New Roman"/>
        <w:bCs/>
        <w:sz w:val="18"/>
        <w:szCs w:val="18"/>
      </w:rPr>
      <w:t>-</w:t>
    </w:r>
    <w:r w:rsidRPr="009934FC">
      <w:rPr>
        <w:rFonts w:ascii="Times New Roman" w:hAnsi="Times New Roman"/>
        <w:bCs/>
        <w:sz w:val="18"/>
        <w:szCs w:val="18"/>
      </w:rPr>
      <w:t xml:space="preserve"> Centro </w:t>
    </w:r>
    <w:r w:rsidR="009934FC">
      <w:rPr>
        <w:rFonts w:ascii="Times New Roman" w:hAnsi="Times New Roman"/>
        <w:bCs/>
        <w:sz w:val="18"/>
        <w:szCs w:val="18"/>
      </w:rPr>
      <w:t>-</w:t>
    </w:r>
    <w:r w:rsidRPr="009934FC">
      <w:rPr>
        <w:rFonts w:ascii="Times New Roman" w:hAnsi="Times New Roman"/>
        <w:bCs/>
        <w:sz w:val="18"/>
        <w:szCs w:val="18"/>
      </w:rPr>
      <w:t xml:space="preserve"> </w:t>
    </w:r>
    <w:r w:rsidR="007433B1" w:rsidRPr="009934FC">
      <w:rPr>
        <w:rFonts w:ascii="Times New Roman" w:hAnsi="Times New Roman"/>
        <w:bCs/>
        <w:sz w:val="18"/>
        <w:szCs w:val="18"/>
      </w:rPr>
      <w:t xml:space="preserve">Sapezal-MT - </w:t>
    </w:r>
    <w:r w:rsidRPr="009934FC">
      <w:rPr>
        <w:rFonts w:ascii="Times New Roman" w:hAnsi="Times New Roman"/>
        <w:bCs/>
        <w:sz w:val="18"/>
        <w:szCs w:val="18"/>
      </w:rPr>
      <w:t xml:space="preserve">CEP 78365-000 </w:t>
    </w:r>
    <w:r w:rsidR="007433B1" w:rsidRPr="009934FC">
      <w:rPr>
        <w:rFonts w:ascii="Times New Roman" w:hAnsi="Times New Roman"/>
        <w:bCs/>
        <w:sz w:val="18"/>
        <w:szCs w:val="18"/>
      </w:rPr>
      <w:t>–</w:t>
    </w:r>
  </w:p>
  <w:p w14:paraId="6A217D3F" w14:textId="293E1CCD" w:rsidR="00935DD5" w:rsidRPr="009934FC" w:rsidRDefault="00935DD5" w:rsidP="007433B1">
    <w:pPr>
      <w:pStyle w:val="Rodap"/>
      <w:jc w:val="center"/>
      <w:rPr>
        <w:rFonts w:ascii="Times New Roman" w:hAnsi="Times New Roman"/>
        <w:bCs/>
        <w:sz w:val="18"/>
        <w:szCs w:val="18"/>
      </w:rPr>
    </w:pPr>
    <w:r w:rsidRPr="009934FC">
      <w:rPr>
        <w:rFonts w:ascii="Times New Roman" w:hAnsi="Times New Roman"/>
        <w:bCs/>
        <w:sz w:val="18"/>
        <w:szCs w:val="18"/>
      </w:rPr>
      <w:t>Fone: (65) 3383-4500</w:t>
    </w:r>
    <w:r w:rsidR="007433B1" w:rsidRPr="009934FC">
      <w:rPr>
        <w:rFonts w:ascii="Times New Roman" w:hAnsi="Times New Roman"/>
        <w:bCs/>
        <w:sz w:val="18"/>
        <w:szCs w:val="18"/>
      </w:rPr>
      <w:t xml:space="preserve"> - </w:t>
    </w:r>
    <w:r w:rsidR="009934FC">
      <w:rPr>
        <w:rFonts w:ascii="Times New Roman" w:hAnsi="Times New Roman"/>
        <w:bCs/>
        <w:sz w:val="18"/>
        <w:szCs w:val="18"/>
      </w:rPr>
      <w:t>E</w:t>
    </w:r>
    <w:r w:rsidR="007433B1" w:rsidRPr="009934FC">
      <w:rPr>
        <w:rFonts w:ascii="Times New Roman" w:hAnsi="Times New Roman"/>
        <w:bCs/>
        <w:sz w:val="18"/>
        <w:szCs w:val="18"/>
      </w:rPr>
      <w:t>-mail: juridico@sapezal.mt.gov.br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32E5" w14:textId="77777777" w:rsidR="00362194" w:rsidRDefault="00362194" w:rsidP="00990A9B">
      <w:r>
        <w:separator/>
      </w:r>
    </w:p>
  </w:footnote>
  <w:footnote w:type="continuationSeparator" w:id="0">
    <w:p w14:paraId="00CB60ED" w14:textId="77777777" w:rsidR="00362194" w:rsidRDefault="00362194" w:rsidP="0099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4664" w14:textId="4AC75B28" w:rsidR="00E3320A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 w:rsidRPr="009934FC">
      <w:rPr>
        <w:rFonts w:ascii="Times New Roman" w:eastAsia="Malgun Gothic" w:hAnsi="Times New Roman"/>
        <w:b/>
        <w:bCs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FAE8AF1" wp14:editId="1A756F63">
          <wp:simplePos x="0" y="0"/>
          <wp:positionH relativeFrom="column">
            <wp:posOffset>187913</wp:posOffset>
          </wp:positionH>
          <wp:positionV relativeFrom="paragraph">
            <wp:posOffset>120902</wp:posOffset>
          </wp:positionV>
          <wp:extent cx="1017905" cy="1137920"/>
          <wp:effectExtent l="0" t="0" r="0" b="5080"/>
          <wp:wrapNone/>
          <wp:docPr id="1793050165" name="Imagem 179305016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F042A" w14:textId="745A6451" w:rsidR="00E3320A" w:rsidRPr="00E3320A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12"/>
        <w:szCs w:val="12"/>
      </w:rPr>
    </w:pPr>
  </w:p>
  <w:p w14:paraId="2B4EE3FC" w14:textId="503AB695" w:rsidR="00935DD5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PREFEITURA MUNICIPAL DE SAPEZAL</w:t>
    </w:r>
  </w:p>
  <w:p w14:paraId="0C8D064E" w14:textId="777B601F" w:rsidR="00935DD5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ESTADO DE MATO GROSSO</w:t>
    </w:r>
  </w:p>
  <w:p w14:paraId="193783F4" w14:textId="532377FA" w:rsidR="00935DD5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  <w:r>
      <w:rPr>
        <w:rFonts w:ascii="Times New Roman" w:eastAsia="Malgun Gothic" w:hAnsi="Times New Roman"/>
        <w:b/>
        <w:bCs/>
        <w:iCs/>
        <w:sz w:val="32"/>
        <w:szCs w:val="32"/>
      </w:rPr>
      <w:t xml:space="preserve">           </w:t>
    </w:r>
    <w:r w:rsidR="00935DD5" w:rsidRPr="009934FC">
      <w:rPr>
        <w:rFonts w:ascii="Times New Roman" w:eastAsia="Malgun Gothic" w:hAnsi="Times New Roman"/>
        <w:b/>
        <w:bCs/>
        <w:iCs/>
        <w:sz w:val="32"/>
        <w:szCs w:val="32"/>
      </w:rPr>
      <w:t>CNPJ 01.614.225/0001-09</w:t>
    </w:r>
  </w:p>
  <w:p w14:paraId="30178228" w14:textId="77777777" w:rsidR="00E3320A" w:rsidRPr="009934FC" w:rsidRDefault="00E3320A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jc w:val="center"/>
      <w:rPr>
        <w:rFonts w:ascii="Times New Roman" w:eastAsia="Malgun Gothic" w:hAnsi="Times New Roman"/>
        <w:b/>
        <w:bCs/>
        <w:iCs/>
        <w:sz w:val="32"/>
        <w:szCs w:val="32"/>
      </w:rPr>
    </w:pPr>
  </w:p>
  <w:p w14:paraId="01CDE22A" w14:textId="77777777" w:rsidR="00935DD5" w:rsidRPr="00E3320A" w:rsidRDefault="00935DD5" w:rsidP="00E3320A">
    <w:pPr>
      <w:pStyle w:val="Cabealho"/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rPr>
        <w:rFonts w:ascii="Times New Roman" w:hAnsi="Times New Roman"/>
        <w:sz w:val="10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4A1"/>
    <w:multiLevelType w:val="hybridMultilevel"/>
    <w:tmpl w:val="95184F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03DF"/>
    <w:multiLevelType w:val="multilevel"/>
    <w:tmpl w:val="ED02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63F04"/>
    <w:multiLevelType w:val="hybridMultilevel"/>
    <w:tmpl w:val="ED9C09EC"/>
    <w:lvl w:ilvl="0" w:tplc="1F6CBCB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60D5B"/>
    <w:multiLevelType w:val="hybridMultilevel"/>
    <w:tmpl w:val="DC64ACCC"/>
    <w:lvl w:ilvl="0" w:tplc="A5CE67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2F70A3A"/>
    <w:multiLevelType w:val="hybridMultilevel"/>
    <w:tmpl w:val="0AFE2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E4AEF"/>
    <w:multiLevelType w:val="hybridMultilevel"/>
    <w:tmpl w:val="22E4D952"/>
    <w:lvl w:ilvl="0" w:tplc="B666D8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2A11930"/>
    <w:multiLevelType w:val="multilevel"/>
    <w:tmpl w:val="CB18F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4DF0EC4"/>
    <w:multiLevelType w:val="hybridMultilevel"/>
    <w:tmpl w:val="54DE274A"/>
    <w:lvl w:ilvl="0" w:tplc="861E938E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0128"/>
    <w:multiLevelType w:val="hybridMultilevel"/>
    <w:tmpl w:val="2A92809C"/>
    <w:lvl w:ilvl="0" w:tplc="703410B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6"/>
        <w:szCs w:val="26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77E72EE"/>
    <w:multiLevelType w:val="hybridMultilevel"/>
    <w:tmpl w:val="D60E9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693F"/>
    <w:multiLevelType w:val="hybridMultilevel"/>
    <w:tmpl w:val="83AE3D0A"/>
    <w:lvl w:ilvl="0" w:tplc="1CFC4BE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C3237A6"/>
    <w:multiLevelType w:val="hybridMultilevel"/>
    <w:tmpl w:val="ED7A2426"/>
    <w:lvl w:ilvl="0" w:tplc="CC02FF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F3752"/>
    <w:multiLevelType w:val="hybridMultilevel"/>
    <w:tmpl w:val="BB8C68EE"/>
    <w:lvl w:ilvl="0" w:tplc="24FEAE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3815C88"/>
    <w:multiLevelType w:val="hybridMultilevel"/>
    <w:tmpl w:val="AF78363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73036"/>
    <w:multiLevelType w:val="hybridMultilevel"/>
    <w:tmpl w:val="605C0E6C"/>
    <w:lvl w:ilvl="0" w:tplc="03E23B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99294622">
    <w:abstractNumId w:val="6"/>
  </w:num>
  <w:num w:numId="2" w16cid:durableId="786041542">
    <w:abstractNumId w:val="2"/>
  </w:num>
  <w:num w:numId="3" w16cid:durableId="1469006145">
    <w:abstractNumId w:val="1"/>
  </w:num>
  <w:num w:numId="4" w16cid:durableId="780490336">
    <w:abstractNumId w:val="3"/>
  </w:num>
  <w:num w:numId="5" w16cid:durableId="1680544465">
    <w:abstractNumId w:val="0"/>
  </w:num>
  <w:num w:numId="6" w16cid:durableId="1987129067">
    <w:abstractNumId w:val="11"/>
  </w:num>
  <w:num w:numId="7" w16cid:durableId="1994720830">
    <w:abstractNumId w:val="7"/>
  </w:num>
  <w:num w:numId="8" w16cid:durableId="136456810">
    <w:abstractNumId w:val="9"/>
  </w:num>
  <w:num w:numId="9" w16cid:durableId="2139295200">
    <w:abstractNumId w:val="13"/>
  </w:num>
  <w:num w:numId="10" w16cid:durableId="1863861083">
    <w:abstractNumId w:val="12"/>
  </w:num>
  <w:num w:numId="11" w16cid:durableId="403571949">
    <w:abstractNumId w:val="8"/>
  </w:num>
  <w:num w:numId="12" w16cid:durableId="1042748460">
    <w:abstractNumId w:val="14"/>
  </w:num>
  <w:num w:numId="13" w16cid:durableId="1778021529">
    <w:abstractNumId w:val="5"/>
  </w:num>
  <w:num w:numId="14" w16cid:durableId="39716090">
    <w:abstractNumId w:val="4"/>
  </w:num>
  <w:num w:numId="15" w16cid:durableId="145293819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B"/>
    <w:rsid w:val="000002F6"/>
    <w:rsid w:val="00002282"/>
    <w:rsid w:val="00002BC9"/>
    <w:rsid w:val="00004DE6"/>
    <w:rsid w:val="00004E0E"/>
    <w:rsid w:val="0001600E"/>
    <w:rsid w:val="0002278B"/>
    <w:rsid w:val="000262F4"/>
    <w:rsid w:val="000321A1"/>
    <w:rsid w:val="00032BE3"/>
    <w:rsid w:val="0003489E"/>
    <w:rsid w:val="00034B9D"/>
    <w:rsid w:val="00037753"/>
    <w:rsid w:val="0004083C"/>
    <w:rsid w:val="00042E3C"/>
    <w:rsid w:val="00045C87"/>
    <w:rsid w:val="00053595"/>
    <w:rsid w:val="000536AF"/>
    <w:rsid w:val="00053B0C"/>
    <w:rsid w:val="0005583F"/>
    <w:rsid w:val="00055BC2"/>
    <w:rsid w:val="00057383"/>
    <w:rsid w:val="0005749F"/>
    <w:rsid w:val="000605EE"/>
    <w:rsid w:val="00061587"/>
    <w:rsid w:val="000664C3"/>
    <w:rsid w:val="00066808"/>
    <w:rsid w:val="00067087"/>
    <w:rsid w:val="00074522"/>
    <w:rsid w:val="00080A28"/>
    <w:rsid w:val="00082714"/>
    <w:rsid w:val="00082F19"/>
    <w:rsid w:val="000849BA"/>
    <w:rsid w:val="00092A1C"/>
    <w:rsid w:val="000A01A5"/>
    <w:rsid w:val="000A4088"/>
    <w:rsid w:val="000B274C"/>
    <w:rsid w:val="000B329F"/>
    <w:rsid w:val="000C49FB"/>
    <w:rsid w:val="000D1C24"/>
    <w:rsid w:val="000D6378"/>
    <w:rsid w:val="000D6FB8"/>
    <w:rsid w:val="000D747A"/>
    <w:rsid w:val="000D752A"/>
    <w:rsid w:val="000D76AE"/>
    <w:rsid w:val="000D79CB"/>
    <w:rsid w:val="000E1AA3"/>
    <w:rsid w:val="000E40E4"/>
    <w:rsid w:val="000E6DDD"/>
    <w:rsid w:val="000E6F41"/>
    <w:rsid w:val="000E7E48"/>
    <w:rsid w:val="000F7858"/>
    <w:rsid w:val="00101014"/>
    <w:rsid w:val="00101C6C"/>
    <w:rsid w:val="0010772C"/>
    <w:rsid w:val="00112739"/>
    <w:rsid w:val="00113338"/>
    <w:rsid w:val="001228DA"/>
    <w:rsid w:val="0012384D"/>
    <w:rsid w:val="0012532C"/>
    <w:rsid w:val="00131585"/>
    <w:rsid w:val="001328F7"/>
    <w:rsid w:val="0013455C"/>
    <w:rsid w:val="00135A54"/>
    <w:rsid w:val="001547ED"/>
    <w:rsid w:val="00156926"/>
    <w:rsid w:val="00156BF0"/>
    <w:rsid w:val="00162C71"/>
    <w:rsid w:val="0016349C"/>
    <w:rsid w:val="001717EC"/>
    <w:rsid w:val="001818E1"/>
    <w:rsid w:val="00181DBB"/>
    <w:rsid w:val="00187384"/>
    <w:rsid w:val="00192EFE"/>
    <w:rsid w:val="001A30AC"/>
    <w:rsid w:val="001B0D96"/>
    <w:rsid w:val="001B3BA4"/>
    <w:rsid w:val="001B5E94"/>
    <w:rsid w:val="001B6EC0"/>
    <w:rsid w:val="001C3D26"/>
    <w:rsid w:val="001C69BA"/>
    <w:rsid w:val="001C74EE"/>
    <w:rsid w:val="001D0444"/>
    <w:rsid w:val="001D1D00"/>
    <w:rsid w:val="001D3423"/>
    <w:rsid w:val="001D51B6"/>
    <w:rsid w:val="001E3567"/>
    <w:rsid w:val="001E742C"/>
    <w:rsid w:val="001F3FF3"/>
    <w:rsid w:val="0020224E"/>
    <w:rsid w:val="00210096"/>
    <w:rsid w:val="00221D1C"/>
    <w:rsid w:val="00224837"/>
    <w:rsid w:val="00224E52"/>
    <w:rsid w:val="002330DB"/>
    <w:rsid w:val="0023570B"/>
    <w:rsid w:val="0023576D"/>
    <w:rsid w:val="00237E70"/>
    <w:rsid w:val="002429A2"/>
    <w:rsid w:val="00242E88"/>
    <w:rsid w:val="00244C21"/>
    <w:rsid w:val="002456AE"/>
    <w:rsid w:val="00246425"/>
    <w:rsid w:val="00247DAB"/>
    <w:rsid w:val="00251213"/>
    <w:rsid w:val="00257ABA"/>
    <w:rsid w:val="00264F99"/>
    <w:rsid w:val="002700D2"/>
    <w:rsid w:val="0027137C"/>
    <w:rsid w:val="00271543"/>
    <w:rsid w:val="00272AE9"/>
    <w:rsid w:val="00274929"/>
    <w:rsid w:val="00275433"/>
    <w:rsid w:val="00276419"/>
    <w:rsid w:val="002868A5"/>
    <w:rsid w:val="0029000F"/>
    <w:rsid w:val="00290E82"/>
    <w:rsid w:val="00294762"/>
    <w:rsid w:val="002A187E"/>
    <w:rsid w:val="002A187F"/>
    <w:rsid w:val="002B1327"/>
    <w:rsid w:val="002B32C8"/>
    <w:rsid w:val="002B33DC"/>
    <w:rsid w:val="002B4E41"/>
    <w:rsid w:val="002C3648"/>
    <w:rsid w:val="002C3F42"/>
    <w:rsid w:val="002D163C"/>
    <w:rsid w:val="002D5D10"/>
    <w:rsid w:val="002E2A41"/>
    <w:rsid w:val="002E4469"/>
    <w:rsid w:val="002F17BC"/>
    <w:rsid w:val="002F3900"/>
    <w:rsid w:val="002F6A12"/>
    <w:rsid w:val="00302171"/>
    <w:rsid w:val="003060EE"/>
    <w:rsid w:val="00316610"/>
    <w:rsid w:val="00335835"/>
    <w:rsid w:val="003368EC"/>
    <w:rsid w:val="003375EB"/>
    <w:rsid w:val="00345F46"/>
    <w:rsid w:val="003460A7"/>
    <w:rsid w:val="00346F26"/>
    <w:rsid w:val="00347C6E"/>
    <w:rsid w:val="00354077"/>
    <w:rsid w:val="003548DC"/>
    <w:rsid w:val="00356E60"/>
    <w:rsid w:val="00360B32"/>
    <w:rsid w:val="0036147E"/>
    <w:rsid w:val="0036195F"/>
    <w:rsid w:val="00362194"/>
    <w:rsid w:val="00363D04"/>
    <w:rsid w:val="00380410"/>
    <w:rsid w:val="0039108A"/>
    <w:rsid w:val="003926DE"/>
    <w:rsid w:val="0039290F"/>
    <w:rsid w:val="00393CBF"/>
    <w:rsid w:val="003970EA"/>
    <w:rsid w:val="003A06F5"/>
    <w:rsid w:val="003A2366"/>
    <w:rsid w:val="003A56EA"/>
    <w:rsid w:val="003A636D"/>
    <w:rsid w:val="003B60AA"/>
    <w:rsid w:val="003B776B"/>
    <w:rsid w:val="003C1FDC"/>
    <w:rsid w:val="003C5E9C"/>
    <w:rsid w:val="003C7E0E"/>
    <w:rsid w:val="003D24E9"/>
    <w:rsid w:val="003D2AD3"/>
    <w:rsid w:val="003D56A0"/>
    <w:rsid w:val="003E0A88"/>
    <w:rsid w:val="003E2C8B"/>
    <w:rsid w:val="003E7DF3"/>
    <w:rsid w:val="003F52EA"/>
    <w:rsid w:val="003F6EBE"/>
    <w:rsid w:val="003F78B7"/>
    <w:rsid w:val="004123EA"/>
    <w:rsid w:val="00414863"/>
    <w:rsid w:val="00421B54"/>
    <w:rsid w:val="00421C4A"/>
    <w:rsid w:val="004236F4"/>
    <w:rsid w:val="004238A0"/>
    <w:rsid w:val="0042726E"/>
    <w:rsid w:val="004303C2"/>
    <w:rsid w:val="00432430"/>
    <w:rsid w:val="004324F7"/>
    <w:rsid w:val="00432B3F"/>
    <w:rsid w:val="004410D2"/>
    <w:rsid w:val="004463B6"/>
    <w:rsid w:val="004518E0"/>
    <w:rsid w:val="00452EB8"/>
    <w:rsid w:val="00462E7C"/>
    <w:rsid w:val="00480DF4"/>
    <w:rsid w:val="00482B39"/>
    <w:rsid w:val="00483822"/>
    <w:rsid w:val="00486FA4"/>
    <w:rsid w:val="00491ED9"/>
    <w:rsid w:val="00495314"/>
    <w:rsid w:val="004974E1"/>
    <w:rsid w:val="004A5790"/>
    <w:rsid w:val="004A69F7"/>
    <w:rsid w:val="004B3472"/>
    <w:rsid w:val="004B4BB3"/>
    <w:rsid w:val="004C29A5"/>
    <w:rsid w:val="004C6996"/>
    <w:rsid w:val="004D1EFE"/>
    <w:rsid w:val="004D23E0"/>
    <w:rsid w:val="004D2ABD"/>
    <w:rsid w:val="004D4313"/>
    <w:rsid w:val="004D60A2"/>
    <w:rsid w:val="004E273F"/>
    <w:rsid w:val="004E5401"/>
    <w:rsid w:val="004E7C99"/>
    <w:rsid w:val="004F2226"/>
    <w:rsid w:val="004F3131"/>
    <w:rsid w:val="005026F6"/>
    <w:rsid w:val="00504099"/>
    <w:rsid w:val="0050452F"/>
    <w:rsid w:val="005051BA"/>
    <w:rsid w:val="00507EB9"/>
    <w:rsid w:val="00512F73"/>
    <w:rsid w:val="0051305B"/>
    <w:rsid w:val="00515025"/>
    <w:rsid w:val="0052051A"/>
    <w:rsid w:val="00522147"/>
    <w:rsid w:val="0052254E"/>
    <w:rsid w:val="00526073"/>
    <w:rsid w:val="005309C9"/>
    <w:rsid w:val="0053314A"/>
    <w:rsid w:val="00534817"/>
    <w:rsid w:val="00535348"/>
    <w:rsid w:val="00542501"/>
    <w:rsid w:val="00544D89"/>
    <w:rsid w:val="0054564B"/>
    <w:rsid w:val="00547132"/>
    <w:rsid w:val="0054792C"/>
    <w:rsid w:val="00547B91"/>
    <w:rsid w:val="00551216"/>
    <w:rsid w:val="00557ED9"/>
    <w:rsid w:val="0056474F"/>
    <w:rsid w:val="00564CBC"/>
    <w:rsid w:val="00565719"/>
    <w:rsid w:val="00570B6E"/>
    <w:rsid w:val="00571699"/>
    <w:rsid w:val="005753B7"/>
    <w:rsid w:val="00580682"/>
    <w:rsid w:val="005858E2"/>
    <w:rsid w:val="00587669"/>
    <w:rsid w:val="00591577"/>
    <w:rsid w:val="00596ECC"/>
    <w:rsid w:val="005A035A"/>
    <w:rsid w:val="005A4A01"/>
    <w:rsid w:val="005A6EB5"/>
    <w:rsid w:val="005A7DA9"/>
    <w:rsid w:val="005B0E29"/>
    <w:rsid w:val="005B2D72"/>
    <w:rsid w:val="005C0309"/>
    <w:rsid w:val="005C05A4"/>
    <w:rsid w:val="005C4839"/>
    <w:rsid w:val="005D4D31"/>
    <w:rsid w:val="005E17BD"/>
    <w:rsid w:val="005E2FFE"/>
    <w:rsid w:val="005E3186"/>
    <w:rsid w:val="005E394D"/>
    <w:rsid w:val="005E3B3C"/>
    <w:rsid w:val="005E630E"/>
    <w:rsid w:val="005E78ED"/>
    <w:rsid w:val="005F1904"/>
    <w:rsid w:val="005F3123"/>
    <w:rsid w:val="005F531C"/>
    <w:rsid w:val="005F5E6D"/>
    <w:rsid w:val="005F7412"/>
    <w:rsid w:val="006019FA"/>
    <w:rsid w:val="0060221A"/>
    <w:rsid w:val="006032BD"/>
    <w:rsid w:val="00603BBC"/>
    <w:rsid w:val="00606EAC"/>
    <w:rsid w:val="00610661"/>
    <w:rsid w:val="00610EBE"/>
    <w:rsid w:val="006164C5"/>
    <w:rsid w:val="00616B42"/>
    <w:rsid w:val="0062350B"/>
    <w:rsid w:val="00627A0E"/>
    <w:rsid w:val="006306BE"/>
    <w:rsid w:val="00631261"/>
    <w:rsid w:val="00631AE2"/>
    <w:rsid w:val="006354F2"/>
    <w:rsid w:val="00635B54"/>
    <w:rsid w:val="00636C11"/>
    <w:rsid w:val="00640AC6"/>
    <w:rsid w:val="00642318"/>
    <w:rsid w:val="0065293E"/>
    <w:rsid w:val="00652C20"/>
    <w:rsid w:val="00655A99"/>
    <w:rsid w:val="0065625C"/>
    <w:rsid w:val="006604AF"/>
    <w:rsid w:val="0066090C"/>
    <w:rsid w:val="0066303C"/>
    <w:rsid w:val="00670621"/>
    <w:rsid w:val="00670E75"/>
    <w:rsid w:val="006758BA"/>
    <w:rsid w:val="00684457"/>
    <w:rsid w:val="00686050"/>
    <w:rsid w:val="00693E28"/>
    <w:rsid w:val="006A0923"/>
    <w:rsid w:val="006A1118"/>
    <w:rsid w:val="006A1A0C"/>
    <w:rsid w:val="006B020C"/>
    <w:rsid w:val="006B68CA"/>
    <w:rsid w:val="006B6ACA"/>
    <w:rsid w:val="006C16DD"/>
    <w:rsid w:val="006D0F38"/>
    <w:rsid w:val="006D2A61"/>
    <w:rsid w:val="006D7532"/>
    <w:rsid w:val="006E4077"/>
    <w:rsid w:val="006E52E3"/>
    <w:rsid w:val="006E634D"/>
    <w:rsid w:val="006F06CA"/>
    <w:rsid w:val="006F1E88"/>
    <w:rsid w:val="006F593A"/>
    <w:rsid w:val="006F7F22"/>
    <w:rsid w:val="007037C7"/>
    <w:rsid w:val="00705B62"/>
    <w:rsid w:val="00706EA8"/>
    <w:rsid w:val="007076D1"/>
    <w:rsid w:val="00713B8E"/>
    <w:rsid w:val="00714ACA"/>
    <w:rsid w:val="00715CAC"/>
    <w:rsid w:val="00721AD3"/>
    <w:rsid w:val="00725832"/>
    <w:rsid w:val="00726461"/>
    <w:rsid w:val="00730AC2"/>
    <w:rsid w:val="00731328"/>
    <w:rsid w:val="00732A9B"/>
    <w:rsid w:val="007433B1"/>
    <w:rsid w:val="00745061"/>
    <w:rsid w:val="00745DF1"/>
    <w:rsid w:val="00746368"/>
    <w:rsid w:val="00746B30"/>
    <w:rsid w:val="00750997"/>
    <w:rsid w:val="00752949"/>
    <w:rsid w:val="007667CC"/>
    <w:rsid w:val="00770A10"/>
    <w:rsid w:val="00773A69"/>
    <w:rsid w:val="00774AF1"/>
    <w:rsid w:val="007815C5"/>
    <w:rsid w:val="00790FA9"/>
    <w:rsid w:val="007A0682"/>
    <w:rsid w:val="007A21E5"/>
    <w:rsid w:val="007B6410"/>
    <w:rsid w:val="007B6646"/>
    <w:rsid w:val="007B6CC3"/>
    <w:rsid w:val="007C4D8A"/>
    <w:rsid w:val="007C5857"/>
    <w:rsid w:val="007C7555"/>
    <w:rsid w:val="007C7F4C"/>
    <w:rsid w:val="007D00CF"/>
    <w:rsid w:val="007D4E00"/>
    <w:rsid w:val="007D5912"/>
    <w:rsid w:val="007E5B5E"/>
    <w:rsid w:val="007E717D"/>
    <w:rsid w:val="007F21EF"/>
    <w:rsid w:val="007F4239"/>
    <w:rsid w:val="007F586A"/>
    <w:rsid w:val="007F7EE6"/>
    <w:rsid w:val="00801E4E"/>
    <w:rsid w:val="008042C2"/>
    <w:rsid w:val="00807CE7"/>
    <w:rsid w:val="0081171C"/>
    <w:rsid w:val="008120A8"/>
    <w:rsid w:val="00823D5D"/>
    <w:rsid w:val="00823FC1"/>
    <w:rsid w:val="00842C85"/>
    <w:rsid w:val="00845F9B"/>
    <w:rsid w:val="00852E7E"/>
    <w:rsid w:val="00853C75"/>
    <w:rsid w:val="00854B09"/>
    <w:rsid w:val="00856306"/>
    <w:rsid w:val="00856630"/>
    <w:rsid w:val="00856E38"/>
    <w:rsid w:val="00856EE8"/>
    <w:rsid w:val="00861133"/>
    <w:rsid w:val="00862CC9"/>
    <w:rsid w:val="0086652A"/>
    <w:rsid w:val="008703E9"/>
    <w:rsid w:val="00873DA4"/>
    <w:rsid w:val="00882F45"/>
    <w:rsid w:val="008834E3"/>
    <w:rsid w:val="008861EF"/>
    <w:rsid w:val="00886AE9"/>
    <w:rsid w:val="00890B52"/>
    <w:rsid w:val="00891081"/>
    <w:rsid w:val="00893DFB"/>
    <w:rsid w:val="00894375"/>
    <w:rsid w:val="00894471"/>
    <w:rsid w:val="008944E6"/>
    <w:rsid w:val="00895CED"/>
    <w:rsid w:val="008A17EB"/>
    <w:rsid w:val="008A3A2E"/>
    <w:rsid w:val="008A4EAF"/>
    <w:rsid w:val="008A71BB"/>
    <w:rsid w:val="008A7ACD"/>
    <w:rsid w:val="008B019C"/>
    <w:rsid w:val="008B058B"/>
    <w:rsid w:val="008B09CE"/>
    <w:rsid w:val="008B3125"/>
    <w:rsid w:val="008B5A9D"/>
    <w:rsid w:val="008B7DCD"/>
    <w:rsid w:val="008C5F8A"/>
    <w:rsid w:val="008C6D4F"/>
    <w:rsid w:val="008C7C71"/>
    <w:rsid w:val="008D6048"/>
    <w:rsid w:val="008E116C"/>
    <w:rsid w:val="008F07A1"/>
    <w:rsid w:val="008F624F"/>
    <w:rsid w:val="008F6C60"/>
    <w:rsid w:val="009100F7"/>
    <w:rsid w:val="00912991"/>
    <w:rsid w:val="00913D6E"/>
    <w:rsid w:val="00916D42"/>
    <w:rsid w:val="00917FBC"/>
    <w:rsid w:val="00922A7C"/>
    <w:rsid w:val="00924271"/>
    <w:rsid w:val="00925137"/>
    <w:rsid w:val="00925DC9"/>
    <w:rsid w:val="00927ABB"/>
    <w:rsid w:val="009302F6"/>
    <w:rsid w:val="00935DD5"/>
    <w:rsid w:val="00943198"/>
    <w:rsid w:val="009571B2"/>
    <w:rsid w:val="00961EE9"/>
    <w:rsid w:val="00966D1F"/>
    <w:rsid w:val="00971466"/>
    <w:rsid w:val="009730F0"/>
    <w:rsid w:val="00975525"/>
    <w:rsid w:val="009829C3"/>
    <w:rsid w:val="00987FA0"/>
    <w:rsid w:val="00990A9B"/>
    <w:rsid w:val="0099190D"/>
    <w:rsid w:val="009934FC"/>
    <w:rsid w:val="009A253E"/>
    <w:rsid w:val="009A410F"/>
    <w:rsid w:val="009A66E9"/>
    <w:rsid w:val="009A7C74"/>
    <w:rsid w:val="009B0675"/>
    <w:rsid w:val="009B139C"/>
    <w:rsid w:val="009B676A"/>
    <w:rsid w:val="009F78BA"/>
    <w:rsid w:val="009F78CD"/>
    <w:rsid w:val="00A00F1F"/>
    <w:rsid w:val="00A01147"/>
    <w:rsid w:val="00A014B8"/>
    <w:rsid w:val="00A03889"/>
    <w:rsid w:val="00A052D1"/>
    <w:rsid w:val="00A11511"/>
    <w:rsid w:val="00A11B9A"/>
    <w:rsid w:val="00A14339"/>
    <w:rsid w:val="00A36479"/>
    <w:rsid w:val="00A41AB8"/>
    <w:rsid w:val="00A41CC9"/>
    <w:rsid w:val="00A44284"/>
    <w:rsid w:val="00A44B5C"/>
    <w:rsid w:val="00A44F9C"/>
    <w:rsid w:val="00A51673"/>
    <w:rsid w:val="00A53608"/>
    <w:rsid w:val="00A56C6B"/>
    <w:rsid w:val="00A6224F"/>
    <w:rsid w:val="00A64CCA"/>
    <w:rsid w:val="00A662CD"/>
    <w:rsid w:val="00A70566"/>
    <w:rsid w:val="00A8138B"/>
    <w:rsid w:val="00A82A51"/>
    <w:rsid w:val="00A82FB4"/>
    <w:rsid w:val="00A86448"/>
    <w:rsid w:val="00A92802"/>
    <w:rsid w:val="00A95678"/>
    <w:rsid w:val="00A97EB1"/>
    <w:rsid w:val="00AA0F9D"/>
    <w:rsid w:val="00AA52CA"/>
    <w:rsid w:val="00AB2BC1"/>
    <w:rsid w:val="00AC58B9"/>
    <w:rsid w:val="00AC5B0E"/>
    <w:rsid w:val="00AC69AD"/>
    <w:rsid w:val="00AD4585"/>
    <w:rsid w:val="00AD718A"/>
    <w:rsid w:val="00AE3AA0"/>
    <w:rsid w:val="00AE515B"/>
    <w:rsid w:val="00AF180D"/>
    <w:rsid w:val="00AF678D"/>
    <w:rsid w:val="00AF7A0D"/>
    <w:rsid w:val="00B178E1"/>
    <w:rsid w:val="00B224F8"/>
    <w:rsid w:val="00B30117"/>
    <w:rsid w:val="00B45BA4"/>
    <w:rsid w:val="00B468DA"/>
    <w:rsid w:val="00B5594C"/>
    <w:rsid w:val="00B6002A"/>
    <w:rsid w:val="00B63742"/>
    <w:rsid w:val="00B64CF1"/>
    <w:rsid w:val="00B67AB3"/>
    <w:rsid w:val="00B67DF3"/>
    <w:rsid w:val="00B72AF8"/>
    <w:rsid w:val="00B74FFC"/>
    <w:rsid w:val="00B75E8F"/>
    <w:rsid w:val="00B773E4"/>
    <w:rsid w:val="00B775C8"/>
    <w:rsid w:val="00B77DDC"/>
    <w:rsid w:val="00B80298"/>
    <w:rsid w:val="00B8088A"/>
    <w:rsid w:val="00B81E46"/>
    <w:rsid w:val="00B84DA7"/>
    <w:rsid w:val="00B85CEC"/>
    <w:rsid w:val="00B8697A"/>
    <w:rsid w:val="00B93FA2"/>
    <w:rsid w:val="00BA0D83"/>
    <w:rsid w:val="00BA1E3A"/>
    <w:rsid w:val="00BA2C65"/>
    <w:rsid w:val="00BB286E"/>
    <w:rsid w:val="00BB3789"/>
    <w:rsid w:val="00BB4A8A"/>
    <w:rsid w:val="00BB5BB3"/>
    <w:rsid w:val="00BB6FF9"/>
    <w:rsid w:val="00BB7233"/>
    <w:rsid w:val="00BC2D48"/>
    <w:rsid w:val="00BC4164"/>
    <w:rsid w:val="00BC794A"/>
    <w:rsid w:val="00BD444C"/>
    <w:rsid w:val="00BD5E03"/>
    <w:rsid w:val="00BD6AB0"/>
    <w:rsid w:val="00BE1269"/>
    <w:rsid w:val="00BE7D70"/>
    <w:rsid w:val="00BF0339"/>
    <w:rsid w:val="00BF1B3B"/>
    <w:rsid w:val="00BF563C"/>
    <w:rsid w:val="00BF586A"/>
    <w:rsid w:val="00C0131D"/>
    <w:rsid w:val="00C023E7"/>
    <w:rsid w:val="00C036AA"/>
    <w:rsid w:val="00C13F31"/>
    <w:rsid w:val="00C25EB2"/>
    <w:rsid w:val="00C37B97"/>
    <w:rsid w:val="00C44F27"/>
    <w:rsid w:val="00C472A4"/>
    <w:rsid w:val="00C524AE"/>
    <w:rsid w:val="00C53A19"/>
    <w:rsid w:val="00C54A86"/>
    <w:rsid w:val="00C63A2D"/>
    <w:rsid w:val="00C85CFB"/>
    <w:rsid w:val="00C90577"/>
    <w:rsid w:val="00CA0D7D"/>
    <w:rsid w:val="00CA1EBD"/>
    <w:rsid w:val="00CA40A1"/>
    <w:rsid w:val="00CA51EB"/>
    <w:rsid w:val="00CA6D8F"/>
    <w:rsid w:val="00CB339E"/>
    <w:rsid w:val="00CB4B08"/>
    <w:rsid w:val="00CB6512"/>
    <w:rsid w:val="00CC53B1"/>
    <w:rsid w:val="00CC791C"/>
    <w:rsid w:val="00CD0D37"/>
    <w:rsid w:val="00CD1276"/>
    <w:rsid w:val="00CD1724"/>
    <w:rsid w:val="00CD4C6B"/>
    <w:rsid w:val="00CD5925"/>
    <w:rsid w:val="00CD7335"/>
    <w:rsid w:val="00CE4FE7"/>
    <w:rsid w:val="00CE68CC"/>
    <w:rsid w:val="00CF3576"/>
    <w:rsid w:val="00CF397F"/>
    <w:rsid w:val="00CF632F"/>
    <w:rsid w:val="00D00313"/>
    <w:rsid w:val="00D01859"/>
    <w:rsid w:val="00D025D8"/>
    <w:rsid w:val="00D046B8"/>
    <w:rsid w:val="00D0501D"/>
    <w:rsid w:val="00D054FF"/>
    <w:rsid w:val="00D1301B"/>
    <w:rsid w:val="00D272EE"/>
    <w:rsid w:val="00D27FC4"/>
    <w:rsid w:val="00D31B2F"/>
    <w:rsid w:val="00D331E3"/>
    <w:rsid w:val="00D437DC"/>
    <w:rsid w:val="00D43A1C"/>
    <w:rsid w:val="00D44325"/>
    <w:rsid w:val="00D45218"/>
    <w:rsid w:val="00D45224"/>
    <w:rsid w:val="00D6062E"/>
    <w:rsid w:val="00D6238F"/>
    <w:rsid w:val="00D62D2A"/>
    <w:rsid w:val="00D635AC"/>
    <w:rsid w:val="00D73CDB"/>
    <w:rsid w:val="00D77574"/>
    <w:rsid w:val="00D80ADE"/>
    <w:rsid w:val="00D85BA6"/>
    <w:rsid w:val="00D87DBD"/>
    <w:rsid w:val="00DA5E7D"/>
    <w:rsid w:val="00DA7055"/>
    <w:rsid w:val="00DB053E"/>
    <w:rsid w:val="00DB10EA"/>
    <w:rsid w:val="00DB7084"/>
    <w:rsid w:val="00DC2A36"/>
    <w:rsid w:val="00DC73A8"/>
    <w:rsid w:val="00DD4331"/>
    <w:rsid w:val="00DD65A6"/>
    <w:rsid w:val="00DD7136"/>
    <w:rsid w:val="00DD7694"/>
    <w:rsid w:val="00DE039A"/>
    <w:rsid w:val="00DE14E4"/>
    <w:rsid w:val="00DE3A4E"/>
    <w:rsid w:val="00DF0460"/>
    <w:rsid w:val="00DF416A"/>
    <w:rsid w:val="00DF51A6"/>
    <w:rsid w:val="00DF5496"/>
    <w:rsid w:val="00DF62F7"/>
    <w:rsid w:val="00E00C67"/>
    <w:rsid w:val="00E0241B"/>
    <w:rsid w:val="00E042AB"/>
    <w:rsid w:val="00E04502"/>
    <w:rsid w:val="00E04FC0"/>
    <w:rsid w:val="00E11EA7"/>
    <w:rsid w:val="00E20180"/>
    <w:rsid w:val="00E2557C"/>
    <w:rsid w:val="00E265CB"/>
    <w:rsid w:val="00E26656"/>
    <w:rsid w:val="00E30367"/>
    <w:rsid w:val="00E306E5"/>
    <w:rsid w:val="00E32B91"/>
    <w:rsid w:val="00E33127"/>
    <w:rsid w:val="00E3320A"/>
    <w:rsid w:val="00E33FB9"/>
    <w:rsid w:val="00E37630"/>
    <w:rsid w:val="00E42805"/>
    <w:rsid w:val="00E4431A"/>
    <w:rsid w:val="00E44D94"/>
    <w:rsid w:val="00E52BE9"/>
    <w:rsid w:val="00E56B9C"/>
    <w:rsid w:val="00E56BA1"/>
    <w:rsid w:val="00E56C69"/>
    <w:rsid w:val="00E645F4"/>
    <w:rsid w:val="00E6483E"/>
    <w:rsid w:val="00E66371"/>
    <w:rsid w:val="00E760C9"/>
    <w:rsid w:val="00E805F1"/>
    <w:rsid w:val="00E82BB4"/>
    <w:rsid w:val="00E83440"/>
    <w:rsid w:val="00E90B41"/>
    <w:rsid w:val="00E9723E"/>
    <w:rsid w:val="00EA0B4F"/>
    <w:rsid w:val="00EA1B20"/>
    <w:rsid w:val="00EA3E8A"/>
    <w:rsid w:val="00EA4BC1"/>
    <w:rsid w:val="00EA6E3F"/>
    <w:rsid w:val="00EA7C4D"/>
    <w:rsid w:val="00EB121D"/>
    <w:rsid w:val="00EB324C"/>
    <w:rsid w:val="00EB65E3"/>
    <w:rsid w:val="00EC243A"/>
    <w:rsid w:val="00EC3E21"/>
    <w:rsid w:val="00ED5A5C"/>
    <w:rsid w:val="00EE4205"/>
    <w:rsid w:val="00EE4695"/>
    <w:rsid w:val="00EF25D9"/>
    <w:rsid w:val="00EF4A20"/>
    <w:rsid w:val="00EF620F"/>
    <w:rsid w:val="00EF7C73"/>
    <w:rsid w:val="00F02316"/>
    <w:rsid w:val="00F043E3"/>
    <w:rsid w:val="00F06E6E"/>
    <w:rsid w:val="00F10E91"/>
    <w:rsid w:val="00F12A45"/>
    <w:rsid w:val="00F13DC4"/>
    <w:rsid w:val="00F20BAA"/>
    <w:rsid w:val="00F213FC"/>
    <w:rsid w:val="00F227CD"/>
    <w:rsid w:val="00F22EB2"/>
    <w:rsid w:val="00F2303B"/>
    <w:rsid w:val="00F243FB"/>
    <w:rsid w:val="00F24CD0"/>
    <w:rsid w:val="00F25A89"/>
    <w:rsid w:val="00F25E8E"/>
    <w:rsid w:val="00F2626D"/>
    <w:rsid w:val="00F30384"/>
    <w:rsid w:val="00F43F02"/>
    <w:rsid w:val="00F47704"/>
    <w:rsid w:val="00F52486"/>
    <w:rsid w:val="00F55579"/>
    <w:rsid w:val="00F56227"/>
    <w:rsid w:val="00F71832"/>
    <w:rsid w:val="00F72CD8"/>
    <w:rsid w:val="00F72D77"/>
    <w:rsid w:val="00F802B4"/>
    <w:rsid w:val="00F82393"/>
    <w:rsid w:val="00F854E1"/>
    <w:rsid w:val="00F86144"/>
    <w:rsid w:val="00F878AF"/>
    <w:rsid w:val="00F90CB2"/>
    <w:rsid w:val="00F95DC7"/>
    <w:rsid w:val="00FA2332"/>
    <w:rsid w:val="00FA6137"/>
    <w:rsid w:val="00FB2577"/>
    <w:rsid w:val="00FB3345"/>
    <w:rsid w:val="00FB46F3"/>
    <w:rsid w:val="00FB70E0"/>
    <w:rsid w:val="00FB7652"/>
    <w:rsid w:val="00FC5DA6"/>
    <w:rsid w:val="00FD22E2"/>
    <w:rsid w:val="00FD49C3"/>
    <w:rsid w:val="00FE3913"/>
    <w:rsid w:val="00FE3EFB"/>
    <w:rsid w:val="00FE5205"/>
    <w:rsid w:val="00FE703E"/>
    <w:rsid w:val="00FF0567"/>
    <w:rsid w:val="00FF2667"/>
    <w:rsid w:val="00FF4143"/>
    <w:rsid w:val="00FF5A65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18B8"/>
  <w15:docId w15:val="{BE9B37DE-73E8-42FF-9C6C-73A27A0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3F42"/>
    <w:pPr>
      <w:keepNext/>
      <w:jc w:val="right"/>
      <w:outlineLvl w:val="1"/>
    </w:pPr>
    <w:rPr>
      <w:rFonts w:ascii="Lucida Console" w:hAnsi="Lucida Console"/>
      <w:i/>
      <w:color w:val="008080"/>
      <w:sz w:val="1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50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90A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0A9B"/>
  </w:style>
  <w:style w:type="paragraph" w:styleId="Rodap">
    <w:name w:val="footer"/>
    <w:basedOn w:val="Normal"/>
    <w:link w:val="RodapChar"/>
    <w:uiPriority w:val="99"/>
    <w:unhideWhenUsed/>
    <w:rsid w:val="00990A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A9B"/>
  </w:style>
  <w:style w:type="paragraph" w:styleId="Corpodetexto">
    <w:name w:val="Body Text"/>
    <w:basedOn w:val="Normal"/>
    <w:link w:val="CorpodetextoChar"/>
    <w:rsid w:val="00990A9B"/>
    <w:pPr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CorpodetextoChar">
    <w:name w:val="Corpo de texto Char"/>
    <w:basedOn w:val="Fontepargpadro"/>
    <w:link w:val="Corpodetexto"/>
    <w:rsid w:val="00990A9B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7E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31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272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52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F07A1"/>
    <w:rPr>
      <w:color w:val="0000FF" w:themeColor="hyperlink"/>
      <w:u w:val="single"/>
    </w:rPr>
  </w:style>
  <w:style w:type="paragraph" w:customStyle="1" w:styleId="Petio">
    <w:name w:val="Petição"/>
    <w:basedOn w:val="Normal"/>
    <w:link w:val="PetioChar"/>
    <w:rsid w:val="00D6238F"/>
    <w:pPr>
      <w:jc w:val="both"/>
    </w:pPr>
    <w:rPr>
      <w:rFonts w:ascii="Times New Roman" w:hAnsi="Times New Roman"/>
      <w:sz w:val="28"/>
    </w:rPr>
  </w:style>
  <w:style w:type="character" w:customStyle="1" w:styleId="PetioChar">
    <w:name w:val="Petição Char"/>
    <w:basedOn w:val="Fontepargpadro"/>
    <w:link w:val="Petio"/>
    <w:rsid w:val="00D623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706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2C3F42"/>
    <w:rPr>
      <w:rFonts w:ascii="Lucida Console" w:eastAsia="Times New Roman" w:hAnsi="Lucida Console" w:cs="Times New Roman"/>
      <w:i/>
      <w:color w:val="008080"/>
      <w:sz w:val="18"/>
      <w:szCs w:val="24"/>
      <w:lang w:eastAsia="pt-BR"/>
    </w:rPr>
  </w:style>
  <w:style w:type="paragraph" w:customStyle="1" w:styleId="corpo">
    <w:name w:val="corpo"/>
    <w:basedOn w:val="Normal"/>
    <w:rsid w:val="002C3F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ltext">
    <w:name w:val="coltext"/>
    <w:basedOn w:val="Fontepargpadro"/>
    <w:rsid w:val="002C3F42"/>
  </w:style>
  <w:style w:type="paragraph" w:customStyle="1" w:styleId="info">
    <w:name w:val="info"/>
    <w:basedOn w:val="Normal"/>
    <w:rsid w:val="00C44F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nippet">
    <w:name w:val="snippet"/>
    <w:basedOn w:val="Normal"/>
    <w:rsid w:val="00C44F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C44F27"/>
    <w:rPr>
      <w:b/>
      <w:bCs/>
    </w:rPr>
  </w:style>
  <w:style w:type="paragraph" w:styleId="Legenda">
    <w:name w:val="caption"/>
    <w:basedOn w:val="Normal"/>
    <w:next w:val="Normal"/>
    <w:qFormat/>
    <w:rsid w:val="00360B32"/>
    <w:pPr>
      <w:widowControl w:val="0"/>
      <w:autoSpaceDE w:val="0"/>
      <w:autoSpaceDN w:val="0"/>
      <w:adjustRightInd w:val="0"/>
      <w:ind w:left="567"/>
      <w:jc w:val="center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B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B32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40AC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40AC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E33127"/>
  </w:style>
  <w:style w:type="paragraph" w:customStyle="1" w:styleId="artigo">
    <w:name w:val="artigo"/>
    <w:basedOn w:val="Normal"/>
    <w:rsid w:val="00D31B2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29C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29C3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829C3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22E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22EB2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53608"/>
    <w:rPr>
      <w:color w:val="808080"/>
    </w:rPr>
  </w:style>
  <w:style w:type="paragraph" w:customStyle="1" w:styleId="texto2">
    <w:name w:val="texto2"/>
    <w:basedOn w:val="Normal"/>
    <w:rsid w:val="00A536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irstementa">
    <w:name w:val="firstementa"/>
    <w:basedOn w:val="Fontepargpadro"/>
    <w:rsid w:val="007C4D8A"/>
  </w:style>
  <w:style w:type="character" w:customStyle="1" w:styleId="marcapalavra">
    <w:name w:val="marca_palavra"/>
    <w:basedOn w:val="Fontepargpadro"/>
    <w:rsid w:val="007C4D8A"/>
  </w:style>
  <w:style w:type="character" w:customStyle="1" w:styleId="hidden">
    <w:name w:val="hidden"/>
    <w:basedOn w:val="Fontepargpadro"/>
    <w:rsid w:val="007C4D8A"/>
  </w:style>
  <w:style w:type="paragraph" w:customStyle="1" w:styleId="texto10">
    <w:name w:val="texto10"/>
    <w:basedOn w:val="Normal"/>
    <w:rsid w:val="00F25E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50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C8C0-EB33-4A9E-8F3D-D93634F1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2093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Alexandre A. França</dc:creator>
  <cp:lastModifiedBy>José Aparecido de Oliveira Junior</cp:lastModifiedBy>
  <cp:revision>3</cp:revision>
  <cp:lastPrinted>2024-03-27T08:49:00Z</cp:lastPrinted>
  <dcterms:created xsi:type="dcterms:W3CDTF">2024-04-04T17:37:00Z</dcterms:created>
  <dcterms:modified xsi:type="dcterms:W3CDTF">2024-04-04T17:55:00Z</dcterms:modified>
</cp:coreProperties>
</file>