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E9D3" w14:textId="51901FC0" w:rsidR="007D5FB8" w:rsidRPr="00F41B07" w:rsidRDefault="007D5FB8" w:rsidP="007D5FB8">
      <w:pPr>
        <w:spacing w:after="240"/>
        <w:jc w:val="both"/>
        <w:rPr>
          <w:rFonts w:ascii="Bookman Old Style" w:hAnsi="Bookman Old Style" w:cs="Tahoma"/>
          <w:b/>
          <w:smallCaps/>
          <w:color w:val="000000" w:themeColor="text1"/>
          <w:kern w:val="3"/>
          <w:sz w:val="28"/>
          <w:szCs w:val="28"/>
        </w:rPr>
      </w:pPr>
      <w:r w:rsidRPr="00F41B07">
        <w:rPr>
          <w:rFonts w:ascii="Bookman Old Style" w:hAnsi="Bookman Old Style" w:cs="Tahoma"/>
          <w:b/>
          <w:smallCaps/>
          <w:color w:val="000000" w:themeColor="text1"/>
          <w:kern w:val="3"/>
          <w:sz w:val="28"/>
          <w:szCs w:val="28"/>
        </w:rPr>
        <w:t>AO JUÍZO DO</w:t>
      </w:r>
      <w:r w:rsidR="00F84871" w:rsidRPr="00F41B07">
        <w:rPr>
          <w:rFonts w:ascii="Bookman Old Style" w:hAnsi="Bookman Old Style" w:cs="Tahoma"/>
          <w:b/>
          <w:smallCaps/>
          <w:color w:val="000000" w:themeColor="text1"/>
          <w:kern w:val="3"/>
          <w:sz w:val="28"/>
          <w:szCs w:val="28"/>
        </w:rPr>
        <w:t>(A)</w:t>
      </w:r>
      <w:r w:rsidRPr="00F41B07">
        <w:rPr>
          <w:rFonts w:ascii="Bookman Old Style" w:hAnsi="Bookman Old Style" w:cs="Tahoma"/>
          <w:b/>
          <w:smallCaps/>
          <w:color w:val="000000" w:themeColor="text1"/>
          <w:kern w:val="3"/>
          <w:sz w:val="28"/>
          <w:szCs w:val="28"/>
        </w:rPr>
        <w:t xml:space="preserve"> RELATOR</w:t>
      </w:r>
      <w:r w:rsidR="00F84871" w:rsidRPr="00F41B07">
        <w:rPr>
          <w:rFonts w:ascii="Bookman Old Style" w:hAnsi="Bookman Old Style" w:cs="Tahoma"/>
          <w:b/>
          <w:smallCaps/>
          <w:color w:val="000000" w:themeColor="text1"/>
          <w:kern w:val="3"/>
          <w:sz w:val="28"/>
          <w:szCs w:val="28"/>
        </w:rPr>
        <w:t>(A)</w:t>
      </w:r>
      <w:r w:rsidRPr="00F41B07">
        <w:rPr>
          <w:rFonts w:ascii="Bookman Old Style" w:hAnsi="Bookman Old Style" w:cs="Tahoma"/>
          <w:b/>
          <w:smallCaps/>
          <w:color w:val="000000" w:themeColor="text1"/>
          <w:kern w:val="3"/>
          <w:sz w:val="28"/>
          <w:szCs w:val="28"/>
        </w:rPr>
        <w:t xml:space="preserve"> DA </w:t>
      </w:r>
      <w:r w:rsidRPr="00F41B07">
        <w:rPr>
          <w:rFonts w:ascii="Bookman Old Style" w:hAnsi="Bookman Old Style" w:cs="Tahoma"/>
          <w:b/>
          <w:bCs/>
          <w:smallCaps/>
          <w:color w:val="000000" w:themeColor="text1"/>
          <w:kern w:val="3"/>
          <w:sz w:val="28"/>
          <w:szCs w:val="28"/>
        </w:rPr>
        <w:t>___ª CÂMARA DE DIREITO PÚBLICO E COLETIVO</w:t>
      </w:r>
      <w:r w:rsidRPr="00F41B07">
        <w:rPr>
          <w:rFonts w:ascii="Bookman Old Style" w:hAnsi="Bookman Old Style" w:cs="Tahoma"/>
          <w:b/>
          <w:smallCaps/>
          <w:color w:val="000000" w:themeColor="text1"/>
          <w:kern w:val="3"/>
          <w:sz w:val="28"/>
          <w:szCs w:val="28"/>
        </w:rPr>
        <w:t xml:space="preserve"> DO EGRÉGIO TRIBUNAL DE JUSTIÇA DO ESTADO DE MATO GROSSO</w:t>
      </w:r>
    </w:p>
    <w:p w14:paraId="6A1E11CD" w14:textId="77777777" w:rsidR="007D5FB8" w:rsidRPr="00F41B07" w:rsidRDefault="007D5FB8" w:rsidP="007D5FB8">
      <w:pPr>
        <w:spacing w:after="240" w:line="276" w:lineRule="auto"/>
        <w:ind w:firstLine="1701"/>
        <w:jc w:val="both"/>
        <w:rPr>
          <w:rFonts w:ascii="Bookman Old Style" w:hAnsi="Bookman Old Style" w:cstheme="minorBidi"/>
          <w:b/>
          <w:color w:val="000000" w:themeColor="text1"/>
        </w:rPr>
      </w:pPr>
    </w:p>
    <w:p w14:paraId="1E9DD09F" w14:textId="77777777" w:rsidR="007D5FB8" w:rsidRPr="00F41B07" w:rsidRDefault="007D5FB8" w:rsidP="007D5FB8">
      <w:pPr>
        <w:spacing w:after="240" w:line="276" w:lineRule="auto"/>
        <w:ind w:firstLine="1701"/>
        <w:jc w:val="both"/>
        <w:rPr>
          <w:rFonts w:ascii="Bookman Old Style" w:hAnsi="Bookman Old Style" w:cs="Tahoma"/>
          <w:b/>
          <w:color w:val="000000" w:themeColor="text1"/>
          <w:u w:val="single"/>
        </w:rPr>
      </w:pPr>
    </w:p>
    <w:p w14:paraId="275933DD" w14:textId="77777777" w:rsidR="007D5FB8" w:rsidRPr="00F41B07" w:rsidRDefault="007D5FB8" w:rsidP="007D5FB8">
      <w:pPr>
        <w:spacing w:after="240" w:line="276" w:lineRule="auto"/>
        <w:jc w:val="both"/>
        <w:rPr>
          <w:rFonts w:ascii="Bookman Old Style" w:hAnsi="Bookman Old Style" w:cs="Tahoma"/>
          <w:b/>
          <w:color w:val="000000" w:themeColor="text1"/>
          <w:u w:val="single"/>
        </w:rPr>
      </w:pPr>
    </w:p>
    <w:p w14:paraId="24275F6E" w14:textId="77777777" w:rsidR="007D5FB8" w:rsidRPr="00F41B07" w:rsidRDefault="007D5FB8" w:rsidP="007D5FB8">
      <w:pPr>
        <w:spacing w:after="240" w:line="276" w:lineRule="auto"/>
        <w:ind w:firstLine="1701"/>
        <w:jc w:val="both"/>
        <w:rPr>
          <w:rFonts w:ascii="Bookman Old Style" w:hAnsi="Bookman Old Style" w:cs="Tahoma"/>
          <w:b/>
          <w:color w:val="000000" w:themeColor="text1"/>
          <w:u w:val="single"/>
        </w:rPr>
      </w:pPr>
    </w:p>
    <w:p w14:paraId="1584D701" w14:textId="0F0B6625" w:rsidR="007D5FB8" w:rsidRPr="00F41B07" w:rsidRDefault="007D5FB8" w:rsidP="007D5FB8">
      <w:pPr>
        <w:spacing w:before="240" w:after="240" w:line="276" w:lineRule="auto"/>
        <w:ind w:firstLine="1701"/>
        <w:jc w:val="both"/>
        <w:rPr>
          <w:rFonts w:ascii="Bookman Old Style" w:hAnsi="Bookman Old Style" w:cs="Tahoma"/>
        </w:rPr>
      </w:pPr>
      <w:r w:rsidRPr="00F41B07">
        <w:rPr>
          <w:rStyle w:val="Forte"/>
          <w:rFonts w:ascii="Bookman Old Style" w:hAnsi="Bookman Old Style" w:cs="Tahoma"/>
          <w:u w:val="single"/>
        </w:rPr>
        <w:t>MUNICÍPIO DE CAMPINÁPOLIS</w:t>
      </w:r>
      <w:r w:rsidRPr="00F41B07">
        <w:rPr>
          <w:rFonts w:ascii="Bookman Old Style" w:hAnsi="Bookman Old Style" w:cs="Tahoma"/>
        </w:rPr>
        <w:t>, pessoa jurídica de direito público interno, inscrito no CNPJ/MF sob o n.º </w:t>
      </w:r>
      <w:hyperlink r:id="rId8" w:history="1">
        <w:r w:rsidRPr="00F41B07">
          <w:rPr>
            <w:rStyle w:val="Hyperlink"/>
            <w:rFonts w:ascii="Bookman Old Style" w:hAnsi="Bookman Old Style" w:cs="Tahoma"/>
            <w:color w:val="auto"/>
            <w:u w:val="none"/>
          </w:rPr>
          <w:t>00.965.152/0001-29</w:t>
        </w:r>
      </w:hyperlink>
      <w:r w:rsidRPr="00F41B07">
        <w:rPr>
          <w:rFonts w:ascii="Bookman Old Style" w:hAnsi="Bookman Old Style" w:cs="Tahoma"/>
        </w:rPr>
        <w:t>, com endereço na Avenida Benônico José Lourenço, nº 2.170, Setor União, Edifício da Prefeitura Municipal, Campinápolis/MT, CEP 78630-000, neste ato representado pelo Prefeito Municipal </w:t>
      </w:r>
      <w:r w:rsidRPr="00F41B07">
        <w:rPr>
          <w:rFonts w:ascii="Bookman Old Style" w:hAnsi="Bookman Old Style" w:cs="Tahoma"/>
          <w:b/>
          <w:bCs/>
          <w:u w:val="single"/>
        </w:rPr>
        <w:t>JOSÉ BUENO VILELA</w:t>
      </w:r>
      <w:r w:rsidRPr="00F41B07">
        <w:rPr>
          <w:rFonts w:ascii="Bookman Old Style" w:hAnsi="Bookman Old Style" w:cs="Tahoma"/>
        </w:rPr>
        <w:t>, brasileiro, casado, pecuarista, portador da Carteira de Identidade RG sob nº 470055 SSPMT e inscrito no CPF sob nº 468.583.931-53, através de seu Advogado Municipal que esta subscreve, vem à presença de Vossa Excelência, nos termos do art. 1.015 e seguintes do Código de Processo Civil, interpor:</w:t>
      </w:r>
    </w:p>
    <w:p w14:paraId="24390540" w14:textId="77777777" w:rsidR="007D5FB8" w:rsidRPr="00F41B07" w:rsidRDefault="007D5FB8" w:rsidP="007D5FB8">
      <w:pPr>
        <w:spacing w:after="240" w:line="276" w:lineRule="auto"/>
        <w:jc w:val="center"/>
        <w:rPr>
          <w:rFonts w:ascii="Bookman Old Style" w:hAnsi="Bookman Old Style" w:cs="Tahoma"/>
          <w:b/>
          <w:bCs/>
          <w:color w:val="000000" w:themeColor="text1"/>
          <w:sz w:val="28"/>
          <w:szCs w:val="28"/>
          <w:u w:val="single"/>
        </w:rPr>
      </w:pPr>
      <w:r w:rsidRPr="00F41B07">
        <w:rPr>
          <w:rFonts w:ascii="Bookman Old Style" w:hAnsi="Bookman Old Style" w:cs="Tahoma"/>
          <w:b/>
          <w:bCs/>
          <w:color w:val="000000" w:themeColor="text1"/>
          <w:sz w:val="28"/>
          <w:szCs w:val="28"/>
          <w:u w:val="single"/>
        </w:rPr>
        <w:t>AGRAVO DE INSTRUMENTO</w:t>
      </w:r>
    </w:p>
    <w:p w14:paraId="3A8B3175" w14:textId="77777777" w:rsidR="007D5FB8" w:rsidRPr="00F41B07" w:rsidRDefault="007D5FB8" w:rsidP="007D5FB8">
      <w:pPr>
        <w:spacing w:after="240" w:line="276" w:lineRule="auto"/>
        <w:jc w:val="center"/>
        <w:rPr>
          <w:rFonts w:ascii="Bookman Old Style" w:hAnsi="Bookman Old Style" w:cs="Tahoma"/>
          <w:sz w:val="28"/>
          <w:szCs w:val="28"/>
        </w:rPr>
      </w:pPr>
      <w:r w:rsidRPr="00F41B07">
        <w:rPr>
          <w:rFonts w:ascii="Bookman Old Style" w:hAnsi="Bookman Old Style" w:cs="Tahoma"/>
          <w:b/>
          <w:bCs/>
          <w:color w:val="000000" w:themeColor="text1"/>
          <w:sz w:val="28"/>
          <w:szCs w:val="28"/>
          <w:u w:val="single"/>
        </w:rPr>
        <w:t>COM PEDIDO DE EFEITO SUSPENSIVO ATIVO</w:t>
      </w:r>
    </w:p>
    <w:p w14:paraId="08F51ABE" w14:textId="0C8451E8" w:rsidR="007D5FB8" w:rsidRPr="00F41B07" w:rsidRDefault="007D5FB8" w:rsidP="007D5FB8">
      <w:pPr>
        <w:spacing w:before="240" w:after="240" w:line="276" w:lineRule="auto"/>
        <w:ind w:firstLine="1701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 w:cs="Tahoma"/>
          <w:color w:val="000000" w:themeColor="text1"/>
        </w:rPr>
        <w:t xml:space="preserve">face à decisão proferida pelo eminente juízo da Vara Única da Comarca de Campinápolis - MT, que indeferiu o pedido de citação via Oficial de Justiça, </w:t>
      </w:r>
      <w:r w:rsidRPr="00F41B07">
        <w:rPr>
          <w:rFonts w:ascii="Bookman Old Style" w:hAnsi="Bookman Old Style" w:cs="Tahoma"/>
          <w:b/>
          <w:bCs/>
          <w:color w:val="000000" w:themeColor="text1"/>
          <w:u w:val="single"/>
        </w:rPr>
        <w:t>independentemente de pagamento por parte da Fazenda Pública</w:t>
      </w:r>
      <w:r w:rsidRPr="00F41B07">
        <w:rPr>
          <w:rFonts w:ascii="Bookman Old Style" w:hAnsi="Bookman Old Style" w:cs="Tahoma"/>
          <w:color w:val="000000" w:themeColor="text1"/>
        </w:rPr>
        <w:t xml:space="preserve">, na ação de execução fiscal número </w:t>
      </w:r>
      <w:r w:rsidR="00E30AA8" w:rsidRPr="00E30AA8">
        <w:rPr>
          <w:rFonts w:ascii="Bookman Old Style" w:hAnsi="Bookman Old Style" w:cs="Tahoma"/>
          <w:color w:val="000000" w:themeColor="text1"/>
        </w:rPr>
        <w:t>1000149-25.2021.8.11.0110</w:t>
      </w:r>
      <w:r w:rsidRPr="00F41B07">
        <w:rPr>
          <w:rFonts w:ascii="Bookman Old Style" w:hAnsi="Bookman Old Style" w:cs="Tahoma"/>
          <w:color w:val="000000" w:themeColor="text1"/>
        </w:rPr>
        <w:t>.</w:t>
      </w:r>
    </w:p>
    <w:p w14:paraId="3E0F9835" w14:textId="078B9663" w:rsidR="007D5FB8" w:rsidRPr="00F41B07" w:rsidRDefault="007D5FB8" w:rsidP="007D5FB8">
      <w:pPr>
        <w:spacing w:before="240" w:after="240" w:line="276" w:lineRule="auto"/>
        <w:ind w:firstLine="1701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 w:cs="Tahoma"/>
          <w:color w:val="000000" w:themeColor="text1"/>
        </w:rPr>
        <w:t>Informa que o agravado</w:t>
      </w:r>
      <w:r w:rsidR="00D50046">
        <w:rPr>
          <w:rFonts w:ascii="Bookman Old Style" w:hAnsi="Bookman Old Style" w:cs="Tahoma"/>
          <w:color w:val="000000" w:themeColor="text1"/>
        </w:rPr>
        <w:t>(a)</w:t>
      </w:r>
      <w:r w:rsidRPr="00F41B07">
        <w:rPr>
          <w:rFonts w:ascii="Bookman Old Style" w:hAnsi="Bookman Old Style" w:cs="Tahoma"/>
          <w:color w:val="000000" w:themeColor="text1"/>
        </w:rPr>
        <w:t xml:space="preserve"> é </w:t>
      </w:r>
      <w:r w:rsidR="00E30AA8" w:rsidRPr="00E30AA8">
        <w:rPr>
          <w:rFonts w:ascii="Bookman Old Style" w:hAnsi="Bookman Old Style" w:cs="Tahoma"/>
          <w:b/>
          <w:bCs/>
          <w:color w:val="000000" w:themeColor="text1"/>
        </w:rPr>
        <w:t>VALDEIR MOURA DO NASCIMENTO</w:t>
      </w:r>
      <w:r w:rsidR="00595F8F" w:rsidRPr="00F41B07">
        <w:rPr>
          <w:rFonts w:ascii="Bookman Old Style" w:hAnsi="Bookman Old Style" w:cs="Tahoma"/>
          <w:color w:val="000000" w:themeColor="text1"/>
        </w:rPr>
        <w:t>, brasileiro</w:t>
      </w:r>
      <w:r w:rsidR="00580085">
        <w:rPr>
          <w:rFonts w:ascii="Bookman Old Style" w:hAnsi="Bookman Old Style" w:cs="Tahoma"/>
          <w:color w:val="000000" w:themeColor="text1"/>
        </w:rPr>
        <w:t>(a)</w:t>
      </w:r>
      <w:r w:rsidR="00595F8F" w:rsidRPr="00F41B07">
        <w:rPr>
          <w:rFonts w:ascii="Bookman Old Style" w:hAnsi="Bookman Old Style" w:cs="Tahoma"/>
          <w:color w:val="000000" w:themeColor="text1"/>
        </w:rPr>
        <w:t>, inscrito</w:t>
      </w:r>
      <w:r w:rsidR="00580085">
        <w:rPr>
          <w:rFonts w:ascii="Bookman Old Style" w:hAnsi="Bookman Old Style" w:cs="Tahoma"/>
          <w:color w:val="000000" w:themeColor="text1"/>
        </w:rPr>
        <w:t>(a)</w:t>
      </w:r>
      <w:r w:rsidR="00595F8F" w:rsidRPr="00F41B07">
        <w:rPr>
          <w:rFonts w:ascii="Bookman Old Style" w:hAnsi="Bookman Old Style" w:cs="Tahoma"/>
          <w:color w:val="000000" w:themeColor="text1"/>
        </w:rPr>
        <w:t xml:space="preserve"> no CPF sob </w:t>
      </w:r>
      <w:r w:rsidR="00595F8F" w:rsidRPr="00C81B7E">
        <w:rPr>
          <w:rFonts w:ascii="Bookman Old Style" w:hAnsi="Bookman Old Style" w:cs="Tahoma"/>
          <w:color w:val="000000" w:themeColor="text1"/>
        </w:rPr>
        <w:t xml:space="preserve">o n.º </w:t>
      </w:r>
      <w:r w:rsidR="00E30AA8" w:rsidRPr="00E30AA8">
        <w:rPr>
          <w:rFonts w:ascii="Bookman Old Style" w:hAnsi="Bookman Old Style" w:cs="Tahoma"/>
          <w:color w:val="000000" w:themeColor="text1"/>
        </w:rPr>
        <w:t>989.721.111-04</w:t>
      </w:r>
      <w:r w:rsidR="00595F8F" w:rsidRPr="00C81B7E">
        <w:rPr>
          <w:rFonts w:ascii="Bookman Old Style" w:hAnsi="Bookman Old Style" w:cs="Tahoma"/>
          <w:color w:val="000000" w:themeColor="text1"/>
        </w:rPr>
        <w:t>, com endereço n</w:t>
      </w:r>
      <w:r w:rsidR="00E34B9E" w:rsidRPr="00C81B7E">
        <w:rPr>
          <w:rFonts w:ascii="Bookman Old Style" w:hAnsi="Bookman Old Style" w:cs="Tahoma"/>
          <w:color w:val="000000" w:themeColor="text1"/>
        </w:rPr>
        <w:t>a</w:t>
      </w:r>
      <w:r w:rsidR="007213D6" w:rsidRPr="00C81B7E">
        <w:rPr>
          <w:rFonts w:ascii="Bookman Old Style" w:hAnsi="Bookman Old Style" w:cs="Tahoma"/>
          <w:color w:val="000000" w:themeColor="text1"/>
        </w:rPr>
        <w:t xml:space="preserve"> </w:t>
      </w:r>
      <w:r w:rsidR="00E30AA8" w:rsidRPr="00E30AA8">
        <w:rPr>
          <w:rFonts w:ascii="Bookman Old Style" w:hAnsi="Bookman Old Style"/>
          <w:color w:val="000000" w:themeColor="text1"/>
        </w:rPr>
        <w:t>Av. Benonio José Lourenço, n. 984, setor Antônio Pedro</w:t>
      </w:r>
      <w:r w:rsidR="00F41B07" w:rsidRPr="00C81B7E">
        <w:rPr>
          <w:rFonts w:ascii="Bookman Old Style" w:hAnsi="Bookman Old Style" w:cs="Tahoma"/>
          <w:color w:val="000000" w:themeColor="text1"/>
        </w:rPr>
        <w:t>,</w:t>
      </w:r>
      <w:r w:rsidR="00595F8F" w:rsidRPr="00C81B7E">
        <w:rPr>
          <w:rFonts w:ascii="Bookman Old Style" w:hAnsi="Bookman Old Style" w:cs="Tahoma"/>
          <w:color w:val="000000" w:themeColor="text1"/>
        </w:rPr>
        <w:t xml:space="preserve"> </w:t>
      </w:r>
      <w:r w:rsidR="00A05A83">
        <w:rPr>
          <w:rFonts w:ascii="Bookman Old Style" w:hAnsi="Bookman Old Style" w:cs="Tahoma"/>
          <w:color w:val="000000" w:themeColor="text1"/>
        </w:rPr>
        <w:t>Campinápolis</w:t>
      </w:r>
      <w:r w:rsidR="00595F8F" w:rsidRPr="00C81B7E">
        <w:rPr>
          <w:rFonts w:ascii="Bookman Old Style" w:hAnsi="Bookman Old Style" w:cs="Tahoma"/>
          <w:color w:val="000000" w:themeColor="text1"/>
        </w:rPr>
        <w:t>-MT, CEP 786</w:t>
      </w:r>
      <w:r w:rsidR="00A05A83">
        <w:rPr>
          <w:rFonts w:ascii="Bookman Old Style" w:hAnsi="Bookman Old Style" w:cs="Tahoma"/>
          <w:color w:val="000000" w:themeColor="text1"/>
        </w:rPr>
        <w:t>3</w:t>
      </w:r>
      <w:r w:rsidR="00595F8F" w:rsidRPr="00C81B7E">
        <w:rPr>
          <w:rFonts w:ascii="Bookman Old Style" w:hAnsi="Bookman Old Style" w:cs="Tahoma"/>
          <w:color w:val="000000" w:themeColor="text1"/>
        </w:rPr>
        <w:t>0-000</w:t>
      </w:r>
      <w:r w:rsidRPr="00C81B7E">
        <w:rPr>
          <w:rFonts w:ascii="Bookman Old Style" w:hAnsi="Bookman Old Style" w:cs="Tahoma"/>
          <w:color w:val="000000" w:themeColor="text1"/>
        </w:rPr>
        <w:t>, salientando que o</w:t>
      </w:r>
      <w:r w:rsidR="007213D6" w:rsidRPr="00C81B7E">
        <w:rPr>
          <w:rFonts w:ascii="Bookman Old Style" w:hAnsi="Bookman Old Style" w:cs="Tahoma"/>
          <w:color w:val="000000" w:themeColor="text1"/>
        </w:rPr>
        <w:t>(a)</w:t>
      </w:r>
      <w:r w:rsidRPr="00F41B07">
        <w:rPr>
          <w:rFonts w:ascii="Bookman Old Style" w:hAnsi="Bookman Old Style" w:cs="Tahoma"/>
          <w:color w:val="000000" w:themeColor="text1"/>
        </w:rPr>
        <w:t xml:space="preserve"> agravado</w:t>
      </w:r>
      <w:r w:rsidR="007213D6">
        <w:rPr>
          <w:rFonts w:ascii="Bookman Old Style" w:hAnsi="Bookman Old Style" w:cs="Tahoma"/>
          <w:color w:val="000000" w:themeColor="text1"/>
        </w:rPr>
        <w:t>(a)</w:t>
      </w:r>
      <w:r w:rsidRPr="00F41B07">
        <w:rPr>
          <w:rFonts w:ascii="Bookman Old Style" w:hAnsi="Bookman Old Style" w:cs="Tahoma"/>
          <w:color w:val="000000" w:themeColor="text1"/>
        </w:rPr>
        <w:t xml:space="preserve"> não possui advogado constituído nos autos, haja vista que não foi citado.</w:t>
      </w:r>
    </w:p>
    <w:p w14:paraId="774EF108" w14:textId="0BF8CEFC" w:rsidR="007D5FB8" w:rsidRPr="00F41B07" w:rsidRDefault="007D5FB8" w:rsidP="007D5FB8">
      <w:pPr>
        <w:spacing w:before="240" w:after="240" w:line="276" w:lineRule="auto"/>
        <w:ind w:firstLine="1701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 w:cs="Tahoma"/>
          <w:color w:val="000000" w:themeColor="text1"/>
        </w:rPr>
        <w:t>Nos termos do art. 1.017, § 5º do CPC, sendo eletrônicos os autos do processo, requer a dispensa da juntada das peças obrigatórias e facultativas.</w:t>
      </w:r>
    </w:p>
    <w:p w14:paraId="2A81C08F" w14:textId="77777777" w:rsidR="007D5FB8" w:rsidRPr="00F41B07" w:rsidRDefault="007D5FB8" w:rsidP="007D5FB8">
      <w:pPr>
        <w:spacing w:before="240" w:after="240" w:line="276" w:lineRule="auto"/>
        <w:ind w:firstLine="1701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 w:cs="Tahoma"/>
          <w:color w:val="000000" w:themeColor="text1"/>
        </w:rPr>
        <w:t xml:space="preserve">Requer, desta forma, a distribuição e, depois de conhecido o presente recurso, seja o mesmo devidamente processado, </w:t>
      </w:r>
      <w:r w:rsidRPr="00F41B07">
        <w:rPr>
          <w:rFonts w:ascii="Bookman Old Style" w:hAnsi="Bookman Old Style" w:cs="Tahoma"/>
          <w:b/>
          <w:color w:val="000000" w:themeColor="text1"/>
        </w:rPr>
        <w:t xml:space="preserve">concedendo o </w:t>
      </w:r>
      <w:r w:rsidRPr="00F41B07">
        <w:rPr>
          <w:rFonts w:ascii="Bookman Old Style" w:hAnsi="Bookman Old Style" w:cs="Tahoma"/>
          <w:b/>
          <w:color w:val="000000" w:themeColor="text1"/>
        </w:rPr>
        <w:lastRenderedPageBreak/>
        <w:t>efeito suspensivo ativo previsto no art. 1.019, I do CPC</w:t>
      </w:r>
      <w:r w:rsidRPr="00F41B07">
        <w:rPr>
          <w:rFonts w:ascii="Bookman Old Style" w:hAnsi="Bookman Old Style" w:cs="Tahoma"/>
          <w:color w:val="000000" w:themeColor="text1"/>
        </w:rPr>
        <w:t>, pelos fundamentos que irá expor e,</w:t>
      </w:r>
      <w:r w:rsidRPr="00F41B07">
        <w:rPr>
          <w:rFonts w:ascii="Bookman Old Style" w:hAnsi="Bookman Old Style" w:cs="Tahoma"/>
          <w:b/>
          <w:color w:val="000000" w:themeColor="text1"/>
        </w:rPr>
        <w:t xml:space="preserve"> </w:t>
      </w:r>
      <w:r w:rsidRPr="00F41B07">
        <w:rPr>
          <w:rFonts w:ascii="Bookman Old Style" w:hAnsi="Bookman Old Style" w:cs="Tahoma"/>
          <w:color w:val="000000" w:themeColor="text1"/>
        </w:rPr>
        <w:t xml:space="preserve">ao fim, </w:t>
      </w:r>
      <w:r w:rsidRPr="00F41B07">
        <w:rPr>
          <w:rFonts w:ascii="Bookman Old Style" w:hAnsi="Bookman Old Style" w:cs="Tahoma"/>
          <w:b/>
          <w:color w:val="000000" w:themeColor="text1"/>
        </w:rPr>
        <w:t>seja julgado procedente</w:t>
      </w:r>
      <w:r w:rsidRPr="00F41B07">
        <w:rPr>
          <w:rFonts w:ascii="Bookman Old Style" w:hAnsi="Bookman Old Style" w:cs="Tahoma"/>
          <w:color w:val="000000" w:themeColor="text1"/>
        </w:rPr>
        <w:t>.</w:t>
      </w:r>
    </w:p>
    <w:p w14:paraId="4EC50324" w14:textId="77777777" w:rsidR="007D5FB8" w:rsidRPr="00F41B07" w:rsidRDefault="007D5FB8" w:rsidP="007D5FB8">
      <w:pPr>
        <w:spacing w:before="240" w:after="240" w:line="276" w:lineRule="auto"/>
        <w:ind w:firstLine="1701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 w:cs="Tahoma"/>
          <w:color w:val="000000" w:themeColor="text1"/>
        </w:rPr>
        <w:t>Nesses termos, pede-se deferimento.</w:t>
      </w:r>
    </w:p>
    <w:p w14:paraId="77166A12" w14:textId="77777777" w:rsidR="007D5FB8" w:rsidRPr="00F41B07" w:rsidRDefault="007D5FB8" w:rsidP="007D5FB8">
      <w:pPr>
        <w:pStyle w:val="NormalWeb"/>
        <w:spacing w:after="240" w:afterAutospacing="0" w:line="276" w:lineRule="auto"/>
        <w:ind w:firstLine="1701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 w:cs="Tahoma"/>
          <w:color w:val="000000" w:themeColor="text1"/>
        </w:rPr>
        <w:t xml:space="preserve">Campinápolis/MT, </w:t>
      </w:r>
      <w:r w:rsidRPr="00F41B07">
        <w:rPr>
          <w:rFonts w:ascii="Bookman Old Style" w:hAnsi="Bookman Old Style" w:cs="Tahoma"/>
          <w:i/>
          <w:iCs/>
          <w:color w:val="000000" w:themeColor="text1"/>
        </w:rPr>
        <w:t>data registrada no sistema</w:t>
      </w:r>
      <w:r w:rsidRPr="00F41B07">
        <w:rPr>
          <w:rFonts w:ascii="Bookman Old Style" w:hAnsi="Bookman Old Style" w:cs="Tahoma"/>
          <w:color w:val="000000" w:themeColor="text1"/>
        </w:rPr>
        <w:t>.</w:t>
      </w:r>
    </w:p>
    <w:p w14:paraId="31F02741" w14:textId="77777777" w:rsidR="007D5FB8" w:rsidRPr="00F41B07" w:rsidRDefault="007D5FB8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651EC60C" w14:textId="77777777" w:rsidR="007D5FB8" w:rsidRPr="00F41B07" w:rsidRDefault="007D5FB8" w:rsidP="007D5FB8">
      <w:pPr>
        <w:spacing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  <w:r w:rsidRPr="00F41B07">
        <w:rPr>
          <w:rFonts w:ascii="Bookman Old Style" w:hAnsi="Bookman Old Style" w:cs="Tahoma"/>
          <w:b/>
          <w:color w:val="000000" w:themeColor="text1"/>
        </w:rPr>
        <w:t>YANN DIEGGO SOUZA TIMÓTHEO DE ALMEIDA</w:t>
      </w:r>
    </w:p>
    <w:p w14:paraId="68A0A79A" w14:textId="2DC30525" w:rsidR="007D5FB8" w:rsidRPr="00F41B07" w:rsidRDefault="007D5FB8" w:rsidP="007D5FB8">
      <w:pPr>
        <w:spacing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  <w:r w:rsidRPr="00F41B07">
        <w:rPr>
          <w:rFonts w:ascii="Bookman Old Style" w:hAnsi="Bookman Old Style" w:cs="Tahoma"/>
          <w:b/>
          <w:color w:val="000000" w:themeColor="text1"/>
        </w:rPr>
        <w:t>Advogado do Município –</w:t>
      </w:r>
      <w:r w:rsidR="00F41B07">
        <w:rPr>
          <w:rFonts w:ascii="Bookman Old Style" w:hAnsi="Bookman Old Style" w:cs="Tahoma"/>
          <w:b/>
          <w:color w:val="000000" w:themeColor="text1"/>
        </w:rPr>
        <w:t xml:space="preserve"> </w:t>
      </w:r>
      <w:r w:rsidRPr="00F41B07">
        <w:rPr>
          <w:rFonts w:ascii="Bookman Old Style" w:hAnsi="Bookman Old Style" w:cs="Tahoma"/>
          <w:b/>
          <w:color w:val="000000" w:themeColor="text1"/>
        </w:rPr>
        <w:t>Matrícula n. 3596</w:t>
      </w:r>
    </w:p>
    <w:p w14:paraId="764AB8B3" w14:textId="77777777" w:rsidR="007D5FB8" w:rsidRPr="00F41B07" w:rsidRDefault="007D5FB8" w:rsidP="007D5FB8">
      <w:pPr>
        <w:spacing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  <w:r w:rsidRPr="00F41B07">
        <w:rPr>
          <w:rFonts w:ascii="Bookman Old Style" w:hAnsi="Bookman Old Style" w:cs="Tahoma"/>
          <w:color w:val="000000" w:themeColor="text1"/>
        </w:rPr>
        <w:t>OAB/MT 12.025</w:t>
      </w:r>
    </w:p>
    <w:p w14:paraId="2B9CB19A" w14:textId="77777777" w:rsidR="007D5FB8" w:rsidRPr="00F41B07" w:rsidRDefault="007D5FB8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35561D1D" w14:textId="77777777" w:rsidR="007D5FB8" w:rsidRPr="00F41B07" w:rsidRDefault="007D5FB8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43A7B5E8" w14:textId="77777777" w:rsidR="007D5FB8" w:rsidRPr="00F41B07" w:rsidRDefault="007D5FB8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13FA4CFE" w14:textId="77777777" w:rsidR="007D5FB8" w:rsidRPr="00F41B07" w:rsidRDefault="007D5FB8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0468593C" w14:textId="77777777" w:rsidR="007D5FB8" w:rsidRPr="00F41B07" w:rsidRDefault="007D5FB8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323405AD" w14:textId="77777777" w:rsidR="007D5FB8" w:rsidRPr="00F41B07" w:rsidRDefault="007D5FB8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10CA7E24" w14:textId="77777777" w:rsidR="007D5FB8" w:rsidRPr="00F41B07" w:rsidRDefault="007D5FB8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4355D8B6" w14:textId="77777777" w:rsidR="007D5FB8" w:rsidRPr="00F41B07" w:rsidRDefault="007D5FB8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4F678958" w14:textId="23513792" w:rsidR="007D5FB8" w:rsidRDefault="007D5FB8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7DCDACBC" w14:textId="56689A30" w:rsidR="002815D0" w:rsidRDefault="002815D0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05F000E0" w14:textId="635E5841" w:rsidR="002815D0" w:rsidRDefault="002815D0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356CAF5F" w14:textId="2590AFB9" w:rsidR="002815D0" w:rsidRDefault="002815D0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3AB20860" w14:textId="5AF81F3E" w:rsidR="002815D0" w:rsidRDefault="002815D0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16482220" w14:textId="6851ECE1" w:rsidR="002815D0" w:rsidRDefault="002815D0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29F969FA" w14:textId="77777777" w:rsidR="002815D0" w:rsidRPr="00F41B07" w:rsidRDefault="002815D0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09B883D9" w14:textId="7CDF05DA" w:rsidR="007D5FB8" w:rsidRPr="00F41B07" w:rsidRDefault="007D5FB8" w:rsidP="007D5FB8">
      <w:pPr>
        <w:pStyle w:val="Ttulo4"/>
        <w:shd w:val="clear" w:color="auto" w:fill="FFFFFF"/>
        <w:spacing w:after="240" w:line="276" w:lineRule="auto"/>
        <w:rPr>
          <w:rFonts w:ascii="Bookman Old Style" w:hAnsi="Bookman Old Style" w:cs="Tahoma"/>
          <w:b/>
          <w:i w:val="0"/>
          <w:color w:val="000000" w:themeColor="text1"/>
          <w:spacing w:val="60"/>
          <w:u w:val="single"/>
        </w:rPr>
      </w:pPr>
    </w:p>
    <w:p w14:paraId="12F07B0D" w14:textId="77777777" w:rsidR="007D5FB8" w:rsidRPr="00F41B07" w:rsidRDefault="007D5FB8" w:rsidP="007D5FB8">
      <w:pPr>
        <w:rPr>
          <w:rFonts w:ascii="Bookman Old Style" w:hAnsi="Bookman Old Style"/>
        </w:rPr>
      </w:pPr>
    </w:p>
    <w:p w14:paraId="06A6E3C4" w14:textId="77777777" w:rsidR="007D5FB8" w:rsidRPr="002815D0" w:rsidRDefault="007D5FB8" w:rsidP="007D5FB8">
      <w:pPr>
        <w:pStyle w:val="Ttulo4"/>
        <w:shd w:val="clear" w:color="auto" w:fill="FFFFFF"/>
        <w:spacing w:after="240" w:line="276" w:lineRule="auto"/>
        <w:jc w:val="center"/>
        <w:rPr>
          <w:rFonts w:ascii="Bookman Old Style" w:hAnsi="Bookman Old Style" w:cs="Tahoma"/>
          <w:b/>
          <w:i w:val="0"/>
          <w:color w:val="000000" w:themeColor="text1"/>
          <w:sz w:val="28"/>
          <w:szCs w:val="28"/>
        </w:rPr>
      </w:pPr>
      <w:r w:rsidRPr="002815D0">
        <w:rPr>
          <w:rFonts w:ascii="Bookman Old Style" w:hAnsi="Bookman Old Style" w:cs="Tahoma"/>
          <w:b/>
          <w:i w:val="0"/>
          <w:color w:val="000000" w:themeColor="text1"/>
          <w:spacing w:val="60"/>
          <w:sz w:val="28"/>
          <w:szCs w:val="28"/>
          <w:u w:val="single"/>
        </w:rPr>
        <w:t>RAZÕES DO AGRAVO DE INSTRUMENTO</w:t>
      </w:r>
    </w:p>
    <w:p w14:paraId="4B7C9811" w14:textId="77777777" w:rsidR="007D5FB8" w:rsidRPr="00F41B07" w:rsidRDefault="007D5FB8" w:rsidP="007D5FB8">
      <w:pPr>
        <w:shd w:val="clear" w:color="auto" w:fill="FFFFFF"/>
        <w:spacing w:after="240" w:line="276" w:lineRule="auto"/>
        <w:jc w:val="both"/>
        <w:rPr>
          <w:rFonts w:ascii="Bookman Old Style" w:hAnsi="Bookman Old Style" w:cs="Tahoma"/>
          <w:color w:val="000000" w:themeColor="text1"/>
        </w:rPr>
      </w:pPr>
    </w:p>
    <w:p w14:paraId="05E2910E" w14:textId="77777777" w:rsidR="007D5FB8" w:rsidRPr="00F41B07" w:rsidRDefault="007D5FB8" w:rsidP="007D5FB8">
      <w:pPr>
        <w:shd w:val="clear" w:color="auto" w:fill="FFFFFF"/>
        <w:spacing w:line="276" w:lineRule="auto"/>
        <w:jc w:val="both"/>
        <w:rPr>
          <w:rStyle w:val="apple-converted-space"/>
          <w:rFonts w:ascii="Bookman Old Style" w:hAnsi="Bookman Old Style"/>
          <w:b/>
          <w:bCs/>
        </w:rPr>
      </w:pPr>
      <w:r w:rsidRPr="00F41B07">
        <w:rPr>
          <w:rFonts w:ascii="Bookman Old Style" w:hAnsi="Bookman Old Style" w:cs="Tahoma"/>
          <w:b/>
          <w:bCs/>
          <w:color w:val="000000" w:themeColor="text1"/>
        </w:rPr>
        <w:t>Agravante:</w:t>
      </w:r>
      <w:r w:rsidRPr="00F41B07">
        <w:rPr>
          <w:rFonts w:ascii="Bookman Old Style" w:hAnsi="Bookman Old Style" w:cs="Tahoma"/>
          <w:color w:val="000000" w:themeColor="text1"/>
        </w:rPr>
        <w:t xml:space="preserve"> </w:t>
      </w:r>
      <w:r w:rsidRPr="00F41B07">
        <w:rPr>
          <w:rFonts w:ascii="Bookman Old Style" w:hAnsi="Bookman Old Style" w:cs="Tahoma"/>
          <w:bCs/>
          <w:color w:val="000000" w:themeColor="text1"/>
        </w:rPr>
        <w:t>MUNICÍPIO DE CAMPINÁPOLIS</w:t>
      </w:r>
    </w:p>
    <w:p w14:paraId="5FE3877F" w14:textId="3A7B2BCD" w:rsidR="007D5FB8" w:rsidRPr="00F41B07" w:rsidRDefault="007D5FB8" w:rsidP="007D5FB8">
      <w:pPr>
        <w:shd w:val="clear" w:color="auto" w:fill="FFFFFF"/>
        <w:spacing w:line="276" w:lineRule="auto"/>
        <w:jc w:val="both"/>
        <w:rPr>
          <w:rStyle w:val="apple-converted-space"/>
          <w:rFonts w:ascii="Bookman Old Style" w:hAnsi="Bookman Old Style" w:cs="Tahoma"/>
          <w:bCs/>
          <w:color w:val="000000" w:themeColor="text1"/>
        </w:rPr>
      </w:pPr>
      <w:r w:rsidRPr="00F41B07">
        <w:rPr>
          <w:rFonts w:ascii="Bookman Old Style" w:hAnsi="Bookman Old Style" w:cs="Tahoma"/>
          <w:b/>
          <w:bCs/>
          <w:color w:val="000000" w:themeColor="text1"/>
        </w:rPr>
        <w:t>Agravado:</w:t>
      </w:r>
      <w:r w:rsidRPr="00F41B07">
        <w:rPr>
          <w:rStyle w:val="apple-converted-space"/>
          <w:rFonts w:ascii="Bookman Old Style" w:hAnsi="Bookman Old Style" w:cs="Tahoma"/>
          <w:b/>
          <w:bCs/>
          <w:color w:val="000000" w:themeColor="text1"/>
        </w:rPr>
        <w:t> </w:t>
      </w:r>
      <w:r w:rsidRPr="00F41B07">
        <w:rPr>
          <w:rFonts w:ascii="Bookman Old Style" w:hAnsi="Bookman Old Style" w:cs="Tahoma"/>
          <w:color w:val="000000" w:themeColor="text1"/>
        </w:rPr>
        <w:t xml:space="preserve"> </w:t>
      </w:r>
      <w:r w:rsidR="00E30AA8" w:rsidRPr="00E30AA8">
        <w:rPr>
          <w:rFonts w:ascii="Bookman Old Style" w:hAnsi="Bookman Old Style" w:cs="Tahoma"/>
          <w:bCs/>
          <w:color w:val="000000" w:themeColor="text1"/>
        </w:rPr>
        <w:t>VALDEIR MOURA DO NASCIMENTO</w:t>
      </w:r>
    </w:p>
    <w:p w14:paraId="36D202EE" w14:textId="0F42BDAC" w:rsidR="007D5FB8" w:rsidRPr="00F41B07" w:rsidRDefault="007D5FB8" w:rsidP="007D5FB8">
      <w:pPr>
        <w:shd w:val="clear" w:color="auto" w:fill="FFFFFF"/>
        <w:spacing w:line="276" w:lineRule="auto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 w:cs="Tahoma"/>
          <w:b/>
          <w:bCs/>
          <w:color w:val="000000" w:themeColor="text1"/>
        </w:rPr>
        <w:t>Juízo “</w:t>
      </w:r>
      <w:r w:rsidRPr="00F41B07">
        <w:rPr>
          <w:rFonts w:ascii="Bookman Old Style" w:hAnsi="Bookman Old Style" w:cs="Tahoma"/>
          <w:b/>
          <w:bCs/>
          <w:i/>
          <w:color w:val="000000" w:themeColor="text1"/>
        </w:rPr>
        <w:t>a quo</w:t>
      </w:r>
      <w:r w:rsidRPr="00F41B07">
        <w:rPr>
          <w:rFonts w:ascii="Bookman Old Style" w:hAnsi="Bookman Old Style" w:cs="Tahoma"/>
          <w:b/>
          <w:bCs/>
          <w:color w:val="000000" w:themeColor="text1"/>
        </w:rPr>
        <w:t>”:</w:t>
      </w:r>
      <w:r w:rsidRPr="00F41B07">
        <w:rPr>
          <w:rStyle w:val="apple-converted-space"/>
          <w:rFonts w:ascii="Bookman Old Style" w:hAnsi="Bookman Old Style" w:cs="Tahoma"/>
          <w:b/>
          <w:bCs/>
          <w:color w:val="000000" w:themeColor="text1"/>
        </w:rPr>
        <w:t> </w:t>
      </w:r>
      <w:r w:rsidRPr="00F41B07">
        <w:rPr>
          <w:rStyle w:val="apple-converted-space"/>
          <w:rFonts w:ascii="Bookman Old Style" w:hAnsi="Bookman Old Style" w:cs="Tahoma"/>
          <w:bCs/>
          <w:color w:val="000000" w:themeColor="text1"/>
        </w:rPr>
        <w:t>VARA ÚNICA DA COMARCA DE CAMPINÁPOLIS-MT</w:t>
      </w:r>
    </w:p>
    <w:p w14:paraId="43B96121" w14:textId="769D64A9" w:rsidR="007D5FB8" w:rsidRPr="00F41B07" w:rsidRDefault="007D5FB8" w:rsidP="007D5FB8">
      <w:pPr>
        <w:shd w:val="clear" w:color="auto" w:fill="FFFFFF"/>
        <w:spacing w:line="276" w:lineRule="auto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 w:cs="Tahoma"/>
          <w:b/>
          <w:bCs/>
          <w:color w:val="000000" w:themeColor="text1"/>
        </w:rPr>
        <w:t>Processo nº:</w:t>
      </w:r>
      <w:r w:rsidRPr="00F41B07">
        <w:rPr>
          <w:rStyle w:val="apple-converted-space"/>
          <w:rFonts w:ascii="Bookman Old Style" w:hAnsi="Bookman Old Style" w:cs="Tahoma"/>
          <w:b/>
          <w:bCs/>
          <w:color w:val="000000" w:themeColor="text1"/>
        </w:rPr>
        <w:t> </w:t>
      </w:r>
      <w:r w:rsidRPr="00F41B07">
        <w:rPr>
          <w:rFonts w:ascii="Bookman Old Style" w:eastAsia="Arial Unicode MS" w:hAnsi="Bookman Old Style" w:cs="Tahoma"/>
          <w:color w:val="000000" w:themeColor="text1"/>
        </w:rPr>
        <w:t xml:space="preserve"> </w:t>
      </w:r>
      <w:r w:rsidR="00E30AA8" w:rsidRPr="00E30AA8">
        <w:rPr>
          <w:rFonts w:ascii="Bookman Old Style" w:hAnsi="Bookman Old Style" w:cs="Tahoma"/>
          <w:color w:val="000000" w:themeColor="text1"/>
        </w:rPr>
        <w:t>1000149-25.2021.8.11.0110</w:t>
      </w:r>
    </w:p>
    <w:p w14:paraId="39CFF7E5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/>
          <w:b/>
          <w:bCs/>
        </w:rPr>
      </w:pPr>
    </w:p>
    <w:p w14:paraId="7A65DBE9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/>
          <w:b/>
          <w:bCs/>
        </w:rPr>
        <w:t>EGRÉGIO TRIBUNAL,</w:t>
      </w:r>
    </w:p>
    <w:p w14:paraId="30B2840A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708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/>
          <w:b/>
          <w:bCs/>
        </w:rPr>
        <w:t>COLENDA CÂMARA,</w:t>
      </w:r>
    </w:p>
    <w:p w14:paraId="4B8039FD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left="708" w:firstLine="708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/>
          <w:b/>
          <w:bCs/>
        </w:rPr>
        <w:t>ÍNCLITOS JULGADORES.</w:t>
      </w:r>
    </w:p>
    <w:p w14:paraId="113D8E42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/>
          <w:b/>
          <w:bCs/>
        </w:rPr>
      </w:pPr>
    </w:p>
    <w:p w14:paraId="01872A4F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/>
          <w:b/>
          <w:bCs/>
        </w:rPr>
        <w:t>1. DA ADMISSIBILIDADE RECURSAL</w:t>
      </w:r>
    </w:p>
    <w:p w14:paraId="396ED23F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/>
          <w:b/>
          <w:bCs/>
        </w:rPr>
        <w:t>1.1. Do cabimento</w:t>
      </w:r>
    </w:p>
    <w:p w14:paraId="6B84818B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/>
          <w:bCs/>
        </w:rPr>
        <w:t>No tocante ao cabimento do agravo de instrumento, ressalta-se que o art. 1.015, parágrafo único do Código de Processo Civil expressamente prevê tal possibilidade:</w:t>
      </w:r>
    </w:p>
    <w:p w14:paraId="556AA1D0" w14:textId="77777777" w:rsidR="007D5FB8" w:rsidRPr="00B42439" w:rsidRDefault="007D5FB8" w:rsidP="00580085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B42439">
        <w:rPr>
          <w:rFonts w:ascii="Bookman Old Style" w:hAnsi="Bookman Old Style"/>
          <w:bCs/>
          <w:sz w:val="22"/>
          <w:szCs w:val="22"/>
        </w:rPr>
        <w:t>Art. 1.015. Cabe agravo de instrumento contra as decisões interlocutórias que versarem sobre: (...)</w:t>
      </w:r>
    </w:p>
    <w:p w14:paraId="76CE8D30" w14:textId="77777777" w:rsidR="007D5FB8" w:rsidRPr="00B42439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B42439">
        <w:rPr>
          <w:rFonts w:ascii="Bookman Old Style" w:hAnsi="Bookman Old Style"/>
          <w:bCs/>
          <w:sz w:val="22"/>
          <w:szCs w:val="22"/>
        </w:rPr>
        <w:t xml:space="preserve">Parágrafo único. </w:t>
      </w:r>
      <w:r w:rsidRPr="00B42439">
        <w:rPr>
          <w:rFonts w:ascii="Bookman Old Style" w:hAnsi="Bookman Old Style"/>
          <w:b/>
          <w:sz w:val="22"/>
          <w:szCs w:val="22"/>
          <w:u w:val="single"/>
        </w:rPr>
        <w:t>Também caberá agravo de instrumento contra decisões interlocutórias proferidas</w:t>
      </w:r>
      <w:r w:rsidRPr="00B42439">
        <w:rPr>
          <w:rFonts w:ascii="Bookman Old Style" w:hAnsi="Bookman Old Style"/>
          <w:bCs/>
          <w:sz w:val="22"/>
          <w:szCs w:val="22"/>
        </w:rPr>
        <w:t xml:space="preserve"> na fase de liquidação de sentença ou de cumprimento de sentença, </w:t>
      </w:r>
      <w:r w:rsidRPr="00B42439">
        <w:rPr>
          <w:rFonts w:ascii="Bookman Old Style" w:hAnsi="Bookman Old Style"/>
          <w:b/>
          <w:sz w:val="22"/>
          <w:szCs w:val="22"/>
          <w:u w:val="single"/>
        </w:rPr>
        <w:t>no processo de execução</w:t>
      </w:r>
      <w:r w:rsidRPr="00B42439">
        <w:rPr>
          <w:rFonts w:ascii="Bookman Old Style" w:hAnsi="Bookman Old Style"/>
          <w:bCs/>
          <w:sz w:val="22"/>
          <w:szCs w:val="22"/>
        </w:rPr>
        <w:t xml:space="preserve"> e no processo de inventário.</w:t>
      </w:r>
    </w:p>
    <w:p w14:paraId="6D0B6877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Excelências, no caso em análise, o agravante requereu a citação por oficial de justiça independentemente do pagamento de custas da diligência do nobre meirinho, tendo como base a Suspensão de Segurança Nº 2.899 – MT – 2017/0159664-5, em que o Superior Tribunal de Justiça determinou a suspensão da liminar que determinava o pagamento das despesas com o oficial de justiça nas causas inerentes à Fazenda Pública, havendo assim, claro teor decisório por parte do eminente Magistrado – que negou o pedido - capaz de causar prejuízos ao agravante, caso não seja objeto de recurso.</w:t>
      </w:r>
    </w:p>
    <w:p w14:paraId="69B38B26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Dessa feita, presente o conteúdo decisório do pronunciamento do juízo de origem capaz de acarretar prejuízo ao agravante, demonstrada está a pertinência do presente agravo de instrumento.</w:t>
      </w:r>
    </w:p>
    <w:p w14:paraId="27EE1CA1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/>
          <w:bCs/>
        </w:rPr>
      </w:pPr>
    </w:p>
    <w:p w14:paraId="74CD0E92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/>
          <w:b/>
          <w:bCs/>
        </w:rPr>
      </w:pPr>
      <w:r w:rsidRPr="00F41B07">
        <w:rPr>
          <w:rFonts w:ascii="Bookman Old Style" w:hAnsi="Bookman Old Style"/>
          <w:b/>
          <w:bCs/>
        </w:rPr>
        <w:t>1.2.</w:t>
      </w:r>
      <w:r w:rsidRPr="00F41B07">
        <w:rPr>
          <w:rFonts w:ascii="Bookman Old Style" w:hAnsi="Bookman Old Style"/>
          <w:bCs/>
        </w:rPr>
        <w:tab/>
      </w:r>
      <w:r w:rsidRPr="00F41B07">
        <w:rPr>
          <w:rFonts w:ascii="Bookman Old Style" w:hAnsi="Bookman Old Style"/>
          <w:b/>
          <w:bCs/>
        </w:rPr>
        <w:t>Da tempestividade</w:t>
      </w:r>
    </w:p>
    <w:p w14:paraId="79B4FF2E" w14:textId="64C5B94F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 xml:space="preserve">O Município de Campinápolis foi intimado no dia </w:t>
      </w:r>
      <w:r w:rsidR="00EF1301">
        <w:rPr>
          <w:rFonts w:ascii="Bookman Old Style" w:hAnsi="Bookman Old Style"/>
          <w:bCs/>
        </w:rPr>
        <w:t>17</w:t>
      </w:r>
      <w:r w:rsidR="00AB41EC" w:rsidRPr="00AB41EC">
        <w:rPr>
          <w:rFonts w:ascii="Bookman Old Style" w:hAnsi="Bookman Old Style"/>
          <w:bCs/>
        </w:rPr>
        <w:t>/0</w:t>
      </w:r>
      <w:r w:rsidR="00EF1301">
        <w:rPr>
          <w:rFonts w:ascii="Bookman Old Style" w:hAnsi="Bookman Old Style"/>
          <w:bCs/>
        </w:rPr>
        <w:t>6</w:t>
      </w:r>
      <w:r w:rsidR="00AB41EC" w:rsidRPr="00AB41EC">
        <w:rPr>
          <w:rFonts w:ascii="Bookman Old Style" w:hAnsi="Bookman Old Style"/>
          <w:bCs/>
        </w:rPr>
        <w:t>/2022</w:t>
      </w:r>
      <w:r w:rsidRPr="00F41B07">
        <w:rPr>
          <w:rFonts w:ascii="Bookman Old Style" w:hAnsi="Bookman Old Style"/>
          <w:bCs/>
        </w:rPr>
        <w:t>, logo, sendo de 30 (dias) o prazo do agravo de instrumento para a Fazenda Pública, preenchido se encontra o requisito da tempestividade.</w:t>
      </w:r>
    </w:p>
    <w:p w14:paraId="2FAE8990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/>
          <w:bCs/>
        </w:rPr>
      </w:pPr>
    </w:p>
    <w:p w14:paraId="55E02AE9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/>
          <w:b/>
          <w:bCs/>
        </w:rPr>
      </w:pPr>
      <w:r w:rsidRPr="00F41B07">
        <w:rPr>
          <w:rFonts w:ascii="Bookman Old Style" w:hAnsi="Bookman Old Style"/>
          <w:b/>
          <w:bCs/>
        </w:rPr>
        <w:t>1.3.</w:t>
      </w:r>
      <w:r w:rsidRPr="00F41B07">
        <w:rPr>
          <w:rFonts w:ascii="Bookman Old Style" w:hAnsi="Bookman Old Style"/>
          <w:bCs/>
        </w:rPr>
        <w:tab/>
      </w:r>
      <w:r w:rsidRPr="00F41B07">
        <w:rPr>
          <w:rFonts w:ascii="Bookman Old Style" w:hAnsi="Bookman Old Style"/>
          <w:b/>
          <w:bCs/>
        </w:rPr>
        <w:t>Do preparo</w:t>
      </w:r>
    </w:p>
    <w:p w14:paraId="13DAFF12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Deixa de comprovar recolhimento de custas processuais ante a isenção conferida à Fazenda Pública Municipal.</w:t>
      </w:r>
    </w:p>
    <w:p w14:paraId="53780185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/>
          <w:bCs/>
        </w:rPr>
      </w:pPr>
    </w:p>
    <w:p w14:paraId="3DDF3D0F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/>
          <w:b/>
          <w:bCs/>
        </w:rPr>
      </w:pPr>
      <w:r w:rsidRPr="00F41B07">
        <w:rPr>
          <w:rFonts w:ascii="Bookman Old Style" w:hAnsi="Bookman Old Style"/>
          <w:b/>
          <w:bCs/>
        </w:rPr>
        <w:t>2. SÍNTESE DOS FATOS</w:t>
      </w:r>
    </w:p>
    <w:p w14:paraId="383637F3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Trata-se, na origem, de Ação de Execução Fiscal em que o agravante cobra valores inadimplidos pelo agravado decorrentes de créditos tributários.</w:t>
      </w:r>
    </w:p>
    <w:p w14:paraId="130D3468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Tendo em vista a não concretização da citação por AR, vez que não encontrado o agravado, o agravante requereu a citação por oficial de justiça sem a necessidade de pagamento da diligência do nobre oficial de justiça, em decorrência da Suspensão de Segurança Nº 2.899 – MT – 2017/0159664-5, em que o Superior Tribunal de Justiça entendeu pela suspensão da liminar que determinava o pagamento das despesas do Oficial de Justiça nas causas inerentes à Fazenda Pública.</w:t>
      </w:r>
    </w:p>
    <w:p w14:paraId="7CA0260F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Diante do pedido, o juízo de piso pronunciou da seguinte forma:</w:t>
      </w:r>
    </w:p>
    <w:p w14:paraId="1D8C60EF" w14:textId="4E782E65" w:rsidR="00924702" w:rsidRPr="00924702" w:rsidRDefault="00924702" w:rsidP="00924702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924702">
        <w:rPr>
          <w:rFonts w:ascii="Bookman Old Style" w:hAnsi="Bookman Old Style"/>
          <w:sz w:val="22"/>
          <w:szCs w:val="22"/>
        </w:rPr>
        <w:t xml:space="preserve">[...] </w:t>
      </w:r>
      <w:r w:rsidRPr="00924702">
        <w:rPr>
          <w:rFonts w:ascii="Bookman Old Style" w:hAnsi="Bookman Old Style"/>
          <w:bCs/>
          <w:sz w:val="22"/>
          <w:szCs w:val="22"/>
        </w:rPr>
        <w:t>O Provimento TJMT/CGJ N. 7/2022 dispõe:</w:t>
      </w:r>
    </w:p>
    <w:p w14:paraId="2D6F8379" w14:textId="77777777" w:rsidR="00924702" w:rsidRPr="00924702" w:rsidRDefault="00924702" w:rsidP="00924702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924702">
        <w:rPr>
          <w:rFonts w:ascii="Bookman Old Style" w:hAnsi="Bookman Old Style"/>
          <w:bCs/>
          <w:sz w:val="22"/>
          <w:szCs w:val="22"/>
        </w:rPr>
        <w:t>"Art. 56.</w:t>
      </w:r>
    </w:p>
    <w:p w14:paraId="2A1379D9" w14:textId="77777777" w:rsidR="00924702" w:rsidRPr="00924702" w:rsidRDefault="00924702" w:rsidP="00924702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924702">
        <w:rPr>
          <w:rFonts w:ascii="Bookman Old Style" w:hAnsi="Bookman Old Style"/>
          <w:bCs/>
          <w:sz w:val="22"/>
          <w:szCs w:val="22"/>
        </w:rPr>
        <w:t>(...)</w:t>
      </w:r>
    </w:p>
    <w:p w14:paraId="483638D9" w14:textId="77777777" w:rsidR="00924702" w:rsidRPr="00924702" w:rsidRDefault="00924702" w:rsidP="00924702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924702">
        <w:rPr>
          <w:rFonts w:ascii="Bookman Old Style" w:hAnsi="Bookman Old Style"/>
          <w:bCs/>
          <w:sz w:val="22"/>
          <w:szCs w:val="22"/>
        </w:rPr>
        <w:t>§ 3º A verba indenizatória instituída pela Lei Estadual n. 10.138/2014 destina-se tão somente a cobrir as despesas com processos abarcados pelo benefício da Justiça Gratuita."</w:t>
      </w:r>
    </w:p>
    <w:p w14:paraId="632FAD74" w14:textId="77777777" w:rsidR="00924702" w:rsidRPr="00924702" w:rsidRDefault="00924702" w:rsidP="00924702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924702">
        <w:rPr>
          <w:rFonts w:ascii="Bookman Old Style" w:hAnsi="Bookman Old Style"/>
          <w:bCs/>
          <w:sz w:val="22"/>
          <w:szCs w:val="22"/>
        </w:rPr>
        <w:t>Ainda nesse sentido vejamos:</w:t>
      </w:r>
    </w:p>
    <w:p w14:paraId="371E2610" w14:textId="77777777" w:rsidR="00924702" w:rsidRPr="00924702" w:rsidRDefault="00924702" w:rsidP="00924702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924702">
        <w:rPr>
          <w:rFonts w:ascii="Bookman Old Style" w:hAnsi="Bookman Old Style"/>
          <w:bCs/>
          <w:sz w:val="22"/>
          <w:szCs w:val="22"/>
        </w:rPr>
        <w:t>EMENTA: AGRAVO DE INSTRUMENTO - EXECUÇÃO FISCAL - VERBA DO OFICIAL DE JUSTIÇA - DESPESA PROCESSUAL - ANTECIPAÇÃO PELA FAZENDA PÚBLICA - SÚMULA 190 DO STJ. Conforme a Súmula 190 do Superior Tribunal de Justiça, na execução fiscal processada perante a Justiça Estadual, a Fazenda Pública deve antecipar a verba destinada ao custeio das despesas processuais, tais como as relativas ao transporte dos oficiais de justiça.</w:t>
      </w:r>
    </w:p>
    <w:p w14:paraId="16EBA406" w14:textId="1DD12E9F" w:rsidR="00924702" w:rsidRPr="00924702" w:rsidRDefault="00924702" w:rsidP="00924702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924702">
        <w:rPr>
          <w:rFonts w:ascii="Bookman Old Style" w:hAnsi="Bookman Old Style"/>
          <w:bCs/>
          <w:sz w:val="22"/>
          <w:szCs w:val="22"/>
        </w:rPr>
        <w:t>(TJ-MG - AI: 10000211208590000 MG, Relator: Wagner Wilson, Data de Julgamento: 31/03/2022, Câmaras Cíveis / 19ª CÂMARA CÍVEL, Data de Publicação: 06/04/2022)</w:t>
      </w:r>
    </w:p>
    <w:p w14:paraId="69002ABB" w14:textId="77777777" w:rsidR="00924702" w:rsidRPr="00924702" w:rsidRDefault="00924702" w:rsidP="00924702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924702">
        <w:rPr>
          <w:rFonts w:ascii="Bookman Old Style" w:hAnsi="Bookman Old Style"/>
          <w:bCs/>
          <w:sz w:val="22"/>
          <w:szCs w:val="22"/>
        </w:rPr>
        <w:t>Assim, considerando que o presente feito não tramita sob a égide da Justiça Gratuita </w:t>
      </w:r>
      <w:r w:rsidRPr="00924702">
        <w:rPr>
          <w:rFonts w:ascii="Bookman Old Style" w:hAnsi="Bookman Old Style"/>
          <w:b/>
          <w:bCs/>
          <w:sz w:val="22"/>
          <w:szCs w:val="22"/>
        </w:rPr>
        <w:t>INDEFIRO</w:t>
      </w:r>
      <w:r w:rsidRPr="00924702">
        <w:rPr>
          <w:rFonts w:ascii="Bookman Old Style" w:hAnsi="Bookman Old Style"/>
          <w:bCs/>
          <w:sz w:val="22"/>
          <w:szCs w:val="22"/>
        </w:rPr>
        <w:t> o pedido retro.</w:t>
      </w:r>
    </w:p>
    <w:p w14:paraId="45666CB5" w14:textId="7E6BC122" w:rsidR="00924702" w:rsidRDefault="00924702" w:rsidP="00924702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924702">
        <w:rPr>
          <w:rFonts w:ascii="Bookman Old Style" w:hAnsi="Bookman Old Style"/>
          <w:bCs/>
          <w:sz w:val="22"/>
          <w:szCs w:val="22"/>
        </w:rPr>
        <w:t>Intime-se a parte exequente para, no prazo de 05 (cinco) dias, dar prosseguimento no feito sob pena de extinção.</w:t>
      </w:r>
    </w:p>
    <w:p w14:paraId="57E6FA18" w14:textId="0BCF3B00" w:rsidR="00924702" w:rsidRPr="00924702" w:rsidRDefault="00924702" w:rsidP="00924702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924702">
        <w:rPr>
          <w:rFonts w:ascii="Bookman Old Style" w:hAnsi="Bookman Old Style"/>
          <w:bCs/>
          <w:sz w:val="22"/>
          <w:szCs w:val="22"/>
        </w:rPr>
        <w:t>Campinápolis – MT, datado e assinado digitalmente.</w:t>
      </w:r>
    </w:p>
    <w:p w14:paraId="5315447B" w14:textId="77777777" w:rsidR="00924702" w:rsidRPr="00924702" w:rsidRDefault="00924702" w:rsidP="00924702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924702">
        <w:rPr>
          <w:rFonts w:ascii="Bookman Old Style" w:hAnsi="Bookman Old Style"/>
          <w:bCs/>
          <w:sz w:val="22"/>
          <w:szCs w:val="22"/>
        </w:rPr>
        <w:t> </w:t>
      </w:r>
    </w:p>
    <w:p w14:paraId="71F113BF" w14:textId="439B1DBA" w:rsidR="00924702" w:rsidRPr="00924702" w:rsidRDefault="00924702" w:rsidP="00924702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center"/>
        <w:rPr>
          <w:rFonts w:ascii="Bookman Old Style" w:hAnsi="Bookman Old Style"/>
          <w:bCs/>
          <w:sz w:val="22"/>
          <w:szCs w:val="22"/>
        </w:rPr>
      </w:pPr>
      <w:r w:rsidRPr="00924702">
        <w:rPr>
          <w:rFonts w:ascii="Bookman Old Style" w:hAnsi="Bookman Old Style"/>
          <w:b/>
          <w:bCs/>
          <w:sz w:val="22"/>
          <w:szCs w:val="22"/>
        </w:rPr>
        <w:t>LORENA AMARAL MALHADO</w:t>
      </w:r>
    </w:p>
    <w:p w14:paraId="06DD3B67" w14:textId="30D039B8" w:rsidR="00924702" w:rsidRPr="002815D0" w:rsidRDefault="00924702" w:rsidP="00924702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center"/>
        <w:rPr>
          <w:rFonts w:ascii="Bookman Old Style" w:hAnsi="Bookman Old Style"/>
          <w:bCs/>
          <w:sz w:val="22"/>
          <w:szCs w:val="22"/>
        </w:rPr>
      </w:pPr>
      <w:r w:rsidRPr="00924702">
        <w:rPr>
          <w:rFonts w:ascii="Bookman Old Style" w:hAnsi="Bookman Old Style"/>
          <w:bCs/>
          <w:sz w:val="22"/>
          <w:szCs w:val="22"/>
        </w:rPr>
        <w:t>Juíza Substituta</w:t>
      </w:r>
    </w:p>
    <w:p w14:paraId="17503667" w14:textId="302556D5" w:rsidR="007D5FB8" w:rsidRPr="002815D0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</w:p>
    <w:p w14:paraId="7B43D618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Assim, em que pese o entendimento explanado nos autos de origem pelo Exmo. Magistrado singular, razão não lhe assiste, porquanto não há substrato legal e jurisprudencial para determinar o pagamento da diligência do nobre oficial de justiça por parte da Fazenda Pública.</w:t>
      </w:r>
    </w:p>
    <w:p w14:paraId="74795E43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/>
          <w:b/>
          <w:bCs/>
        </w:rPr>
      </w:pPr>
    </w:p>
    <w:p w14:paraId="6F2220CE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/>
          <w:b/>
          <w:bCs/>
        </w:rPr>
      </w:pPr>
      <w:r w:rsidRPr="00F41B07">
        <w:rPr>
          <w:rFonts w:ascii="Bookman Old Style" w:hAnsi="Bookman Old Style"/>
          <w:b/>
          <w:bCs/>
        </w:rPr>
        <w:t>3. DAS RAZÕES QUE ENSEJAM A REFORMA DA DECISÃO AGRAVADA</w:t>
      </w:r>
    </w:p>
    <w:p w14:paraId="0B517168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bookmarkStart w:id="0" w:name="_Hlk102115942"/>
      <w:r w:rsidRPr="00F41B07">
        <w:rPr>
          <w:rFonts w:ascii="Bookman Old Style" w:hAnsi="Bookman Old Style"/>
          <w:bCs/>
        </w:rPr>
        <w:t>O Superior Tribunal de Justiça (</w:t>
      </w:r>
      <w:r w:rsidRPr="00F41B07">
        <w:rPr>
          <w:rFonts w:ascii="Bookman Old Style" w:hAnsi="Bookman Old Style"/>
          <w:b/>
          <w:bCs/>
        </w:rPr>
        <w:t>SUSPENSÃO DE SEGURANÇA Nº 2.899 – MT – 2017/0159664-5</w:t>
      </w:r>
      <w:r w:rsidRPr="00F41B07">
        <w:rPr>
          <w:rFonts w:ascii="Bookman Old Style" w:hAnsi="Bookman Old Style"/>
          <w:bCs/>
        </w:rPr>
        <w:t>) determinou a suspensão da liminar que determinava</w:t>
      </w:r>
      <w:r w:rsidRPr="00F41B07">
        <w:rPr>
          <w:rFonts w:ascii="Bookman Old Style" w:hAnsi="Bookman Old Style"/>
          <w:b/>
          <w:bCs/>
        </w:rPr>
        <w:t xml:space="preserve"> </w:t>
      </w:r>
      <w:r w:rsidRPr="00F41B07">
        <w:rPr>
          <w:rFonts w:ascii="Bookman Old Style" w:hAnsi="Bookman Old Style"/>
          <w:bCs/>
        </w:rPr>
        <w:t>o pagamento das despesas com o oficial de justiça nas causas inerentes à Fazenda Pública, cujo trecho é destacado a seguir:</w:t>
      </w:r>
    </w:p>
    <w:p w14:paraId="4E784BEB" w14:textId="27A95567" w:rsidR="007D5FB8" w:rsidRPr="002815D0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(...) ‘</w:t>
      </w:r>
      <w:r w:rsidRPr="002815D0">
        <w:rPr>
          <w:rFonts w:ascii="Bookman Old Style" w:hAnsi="Bookman Old Style"/>
          <w:b/>
          <w:sz w:val="22"/>
          <w:szCs w:val="22"/>
          <w:u w:val="single"/>
        </w:rPr>
        <w:t>A verba indenizatória instituída pela Lei Estadual n. 10.138/2014, destina-se também a cobrir as despesas de deslocamento dos meirinhos nos processos que envolvem a Fazenda Pública’</w:t>
      </w:r>
      <w:r w:rsidRPr="002815D0">
        <w:rPr>
          <w:rFonts w:ascii="Bookman Old Style" w:hAnsi="Bookman Old Style"/>
          <w:bCs/>
          <w:sz w:val="22"/>
          <w:szCs w:val="22"/>
        </w:rPr>
        <w:t>. Desse modo, verifico que a orientação ora postulada, já se encontra exaustivamente regulamentada, na Resolução 153 do CNJ, nas Leis Estaduais 10.138/2014 e 10.334/2015, e ainda na Consolidação das Normas Gerais da Corregedoria-Geral de Justiça vigente, de forma expressa. Ante o exposto, DEFIRO o pedido formulado às fls. 03/08 e, por consequência, DETERMINO a expedição de ofício às Varas e Magistrados do Poder Judiciário do Estado de Mato Grosso recomendando a observância das normas atinentes verba indenizatória que visam cobrir as despesas de deslocamento dos Oficiais de Justiça nos processos que envolvem a Fazenda Pública." (fls. 46-48) O mandado de segurança impetrado, na origem, pelo Sindicato dos Oficiais de Justiça do Estado de Mato Grosso requereu o pagamento prévio de verba para o cumprimento de diligências em ações ajuizadas pela Fazenda Pública. O julgado proferido na referida impetração, e que se pretende suspender com o presente pedido de contracautela, deferiu a liminar determinando que o estado faça o depósito prévio da aludida verba. Da leitura dos pedidos de providência acima transcritos, fica claro que o aumento no valor da gratificação dos oficiais de justiça (VIPAE), instituído pela Lei n.º 10.334/2015, foi efetivado justamente no intuito de cobrir as despesas das diligências efetuadas na ações ajuizadas pela Fazenda Pública. Nesse contexto, o deferimento da liminar no mandado de segurança, determinando o depósito prévio das diligências para os oficiais de justiça, impõe ao Estado do Mato Grosso pagamento de verba em duplicidade, configurando assim grave lesão à economia pública. Ante o exposto, DEFIRO o pedido para suspender os efeitos da medida liminar proferida nos autos do Mandado de Segurança n.º 1000783-02.2017.8.11.0000 até seu trânsito em julgado. Comunique-se, com urgência. Publique-se. Intimem-se. Brasília (DF), 14 de julho de 2017. MINISTRA LAURITA VAZ Presidente (STJ - SS: 2899 MT 2017/0159664-5, Relator: Ministra LAURITA VAZ, Data de Publicação: DJ 01/08/2017)</w:t>
      </w:r>
    </w:p>
    <w:p w14:paraId="7805457E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Nesse sentido, Excelência, o Conselho Nacional de Justiça – por meio da Resolução n. 153 - determinou aos Tribunais de Justiça que garantam aos Oficiais de Justiça o recebimento do montante hábil ao cumprimento das diligências em que o pedido seja formulado pela Fazenda Pública.</w:t>
      </w:r>
    </w:p>
    <w:p w14:paraId="7D47EBC7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Assim, a lei estadual 10.334 de 26 de outubro de 2015 aumentou a verba indenizatória para cumprimento de Mandados de Justiça Gratuita:</w:t>
      </w:r>
    </w:p>
    <w:p w14:paraId="4B2D3EFB" w14:textId="77777777" w:rsidR="007D5FB8" w:rsidRPr="002815D0" w:rsidRDefault="007D5FB8" w:rsidP="00985A08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 xml:space="preserve">Art. 2º Fica alterado o Parágrafo único do Art. 41 da Lei nº 8.814, de 15 de janeiro de 2008, alterado pela Lei nº 10.255/2014, passando a vigorar com a seguinte redação: </w:t>
      </w:r>
    </w:p>
    <w:p w14:paraId="21D60F9B" w14:textId="469A472D" w:rsidR="007D5FB8" w:rsidRPr="002815D0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“Art. 41 (...) Parágrafo único. Os servidores efetivos no cargo de Oficial de Justiça farão jus à Verba Indenizatória para Cumprimento de Mandados da Justiça Gratuita, no valor de R$ 3.500,00 (três mil e quinhentos reais), devida, de forma antecipada, até o 10º (décimo) dia útil de cada mês.”.</w:t>
      </w:r>
    </w:p>
    <w:p w14:paraId="2C2180C8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Conforme exposto pela eminente Min. Rel. Laurita Vaz, esse aumento se deu com o fito de suprir as despesas das diligências pleiteadas pela Fazenda Pública, ao qual, pela importância, reitera-se:</w:t>
      </w:r>
    </w:p>
    <w:p w14:paraId="1C563979" w14:textId="77777777" w:rsidR="007D5FB8" w:rsidRPr="00F41B07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</w:rPr>
      </w:pPr>
      <w:r w:rsidRPr="002815D0">
        <w:rPr>
          <w:rFonts w:ascii="Bookman Old Style" w:hAnsi="Bookman Old Style"/>
          <w:bCs/>
          <w:sz w:val="22"/>
          <w:szCs w:val="22"/>
        </w:rPr>
        <w:t xml:space="preserve">Da leitura dos pedidos de providência acima transcritos, fica claro que </w:t>
      </w:r>
      <w:r w:rsidRPr="002815D0">
        <w:rPr>
          <w:rFonts w:ascii="Bookman Old Style" w:hAnsi="Bookman Old Style"/>
          <w:b/>
          <w:bCs/>
          <w:sz w:val="22"/>
          <w:szCs w:val="22"/>
        </w:rPr>
        <w:t>o aumento no valor da gratificação dos oficiais de justiça (VIPAE), instituído pela Lei n.º 10.334/2015, foi efetivado justamente no intuito de cobrir as despesas das diligências efetuadas na ações ajuizadas pela Fazenda Pública.</w:t>
      </w:r>
      <w:r w:rsidRPr="002815D0">
        <w:rPr>
          <w:rFonts w:ascii="Bookman Old Style" w:hAnsi="Bookman Old Style"/>
          <w:bCs/>
          <w:sz w:val="22"/>
          <w:szCs w:val="22"/>
        </w:rPr>
        <w:t xml:space="preserve"> (STJ - SS: 2899 </w:t>
      </w:r>
      <w:r w:rsidRPr="002815D0">
        <w:rPr>
          <w:rFonts w:ascii="Bookman Old Style" w:hAnsi="Bookman Old Style"/>
          <w:b/>
          <w:bCs/>
          <w:sz w:val="22"/>
          <w:szCs w:val="22"/>
        </w:rPr>
        <w:t>MT</w:t>
      </w:r>
      <w:r w:rsidRPr="002815D0">
        <w:rPr>
          <w:rFonts w:ascii="Bookman Old Style" w:hAnsi="Bookman Old Style"/>
          <w:bCs/>
          <w:sz w:val="22"/>
          <w:szCs w:val="22"/>
        </w:rPr>
        <w:t xml:space="preserve"> 2017/0159664-5,</w:t>
      </w:r>
      <w:r w:rsidRPr="002815D0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2815D0">
        <w:rPr>
          <w:rFonts w:ascii="Bookman Old Style" w:hAnsi="Bookman Old Style"/>
          <w:bCs/>
          <w:sz w:val="22"/>
          <w:szCs w:val="22"/>
        </w:rPr>
        <w:t>Relator: Ministra LAURITA VAZ, Data de Publicação: DJ 01/08/2017)</w:t>
      </w:r>
    </w:p>
    <w:p w14:paraId="32E78F01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Outrossim, o órgão especial do Tribunal de Justiça de Mato Grosso no processo de nº 1000783-02.2017.8.11.0000 decidiu que o VIPAE tem a função de cobrir os gastos, inclusive, inerentes às diligências realizadas pelos Oficiais de Justiça no que concerne a requerimentos da Fazenda Pública:</w:t>
      </w:r>
    </w:p>
    <w:p w14:paraId="7865EE1B" w14:textId="77777777" w:rsidR="007D5FB8" w:rsidRPr="00F41B07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</w:rPr>
      </w:pPr>
      <w:r w:rsidRPr="002815D0">
        <w:rPr>
          <w:rFonts w:ascii="Bookman Old Style" w:hAnsi="Bookman Old Style"/>
          <w:bCs/>
          <w:sz w:val="22"/>
          <w:szCs w:val="22"/>
        </w:rPr>
        <w:t xml:space="preserve">MANDADO DE SEGURANÇA – CUSTEIO DE DESPESAS ORIUNDAS DO CUMPRIMENTO DE MANDADOS INERENTES À FAZENDA PÚBLICA POR MEIO DA VERBA INDENIZATÓRIA PARA ATIVIDADE EXTERNA – VIPAE – DESTINAÇÃO DA VERBA PARA CUMPRIMENTO DE MANDADOS ORIUNDOS DA JUSTIÇA GRATUITA, DE MODO QUE NÃO SERIA RAZOÁVEL ISENTAR O ESTADO/FAZENDA DE PAGAR AS DILIGÊNCIAS; CONTRADIÇÃO ENTRE O ART. 649, § 7º, E O INCISO IV DO § 5º, AMBOS DA CNGC; INVASÃO DE COMPETÊNCIA LEGISLATIVA; OBRIGATORIEDADE DA FAZENDA PÚBLICA DE PAGAR AS DILIGÊNCIAS – PEDIDO DE EXCLUSÃO DE ARTIGOS DE CNGC E DETERMINAÇÃO DE PAGAMENTO DAS DILIGÊNCIAS DOS OFICIAIS DE JUSTIÇA PELA FAZENDA PÚBLICA –  AUMENTO DA VERBA INDENIZATÓRIA DO VIPAE EM 76,45% – INCLUSÃO DAS DILIGÊNCIAS INERENTES AOS ATOS RELATIVOS À FAZENDA PÚBLICA – RECEBIMENTO POR MEIO DA VIPAE – PARECER DA PGJ -  DETERMINAÇÃO DE PAGAMENTO DE DILIGÊNCIAS PELA FAZENDA PÚBLICA – CONFIGURAÇÃO DE PAGAMENTO EM DUPLICIDADE – ENTENDIMENTO DO STJ - APARENTE CONFLITO ENTRE DOIS DISPOSITIVOS – EXCLUSÃO DE ARTIGO DA CGNC – INJUSTIFICÁVEL – REGULAMENTO DE CARÁTER GENÉRICO, ABSTRATO E IMPESSOAL - CORREÇÃO POR VIA DE MANDADO DE SEGURANÇA – IMPOSSIBILIDADE – SÚMULA 266 DO STF  – JULGADOS DO STF E  DO TJMT – COMPETÊNCIA PARA REGULAMENTAR A MATÉRIA – DELEGAÇÃO AOS TRIBUNAIS  - INCLUSÃO DE VERBA ESPECÍFICA  NAS PROPOSTAS ORÇAMENTÁRIAS – JULGADO DO STJ – ALTERAÇÃO AO SDCR – INVASÃO DE COMPETÊNCIA LEGISLATIVA – INEXISTÊNCIA – CUSTEIO DAS DILIGÊNCIAS – EXECUÇÃO FISCAL –  ADIANTAMENTO DAS DESPESAS COM LOCOMOÇÃO DOS OFICIAIS DE JUSTIÇA - SÚMULA 190 DO STJ  E JULGAMENTO DO RESP Nº 1144687/RS – VALOR DO VIPAE – ABRANGÊNCIA DE TODOS OS FEITOS INERENTES À FAZENDA PÚBLICA – PONDERAÇÃO DO CORREGEDOR-GERAL DE JUSTIÇA - DIREITO LÍQUIDO E CERTO DA CATEGORIA  NÃO RECONHECIDO – SEGURANÇA DENEGADA. </w:t>
      </w:r>
      <w:r w:rsidRPr="002815D0">
        <w:rPr>
          <w:rFonts w:ascii="Bookman Old Style" w:hAnsi="Bookman Old Style"/>
          <w:b/>
          <w:sz w:val="22"/>
          <w:szCs w:val="22"/>
        </w:rPr>
        <w:t xml:space="preserve">No Estado de Mato Grosso, este e. Tribunal aumentou a verba indenizatória do VIPAE em 76,45% [por meio das Leis nº 10.138/2014, 10.334/2015 e Lei nº 10.698/2018] </w:t>
      </w:r>
      <w:r w:rsidRPr="002815D0">
        <w:rPr>
          <w:rFonts w:ascii="Bookman Old Style" w:hAnsi="Bookman Old Style"/>
          <w:b/>
          <w:sz w:val="22"/>
          <w:szCs w:val="22"/>
          <w:u w:val="single"/>
        </w:rPr>
        <w:t>para incluir as diligências inerentes aos atos relativos à Fazenda Pública</w:t>
      </w:r>
      <w:r w:rsidRPr="002815D0">
        <w:rPr>
          <w:rFonts w:ascii="Bookman Old Style" w:hAnsi="Bookman Old Style"/>
          <w:b/>
          <w:sz w:val="22"/>
          <w:szCs w:val="22"/>
        </w:rPr>
        <w:t>. Em outras palavras, “</w:t>
      </w:r>
      <w:r w:rsidRPr="002815D0">
        <w:rPr>
          <w:rFonts w:ascii="Bookman Old Style" w:hAnsi="Bookman Old Style"/>
          <w:b/>
          <w:i/>
          <w:iCs/>
          <w:sz w:val="22"/>
          <w:szCs w:val="22"/>
        </w:rPr>
        <w:t>os Oficiais de Justiça não deixaram de receber pelo cumprimento dos mandados da Fazenda Pública, mas recebem por meio da VIPAE”</w:t>
      </w:r>
      <w:r w:rsidRPr="002815D0">
        <w:rPr>
          <w:rFonts w:ascii="Bookman Old Style" w:hAnsi="Bookman Old Style"/>
          <w:b/>
          <w:sz w:val="22"/>
          <w:szCs w:val="22"/>
        </w:rPr>
        <w:t xml:space="preserve"> (Marcelo Ferra de Carvalho, procurador de Justiça). </w:t>
      </w:r>
      <w:r w:rsidRPr="002815D0">
        <w:rPr>
          <w:rFonts w:ascii="Bookman Old Style" w:hAnsi="Bookman Old Style"/>
          <w:bCs/>
          <w:sz w:val="22"/>
          <w:szCs w:val="22"/>
        </w:rPr>
        <w:t xml:space="preserve">O c. STJ, ao apreciar a matéria em sede de suspensão de segurança, considerou que a determinação de pagamento de diligências pela Fazenda Pública configuraria </w:t>
      </w:r>
      <w:r w:rsidRPr="002815D0">
        <w:rPr>
          <w:rFonts w:ascii="Bookman Old Style" w:hAnsi="Bookman Old Style"/>
          <w:b/>
          <w:sz w:val="22"/>
          <w:szCs w:val="22"/>
          <w:u w:val="single"/>
        </w:rPr>
        <w:t>pagamento em duplicidade</w:t>
      </w:r>
      <w:r w:rsidRPr="002815D0">
        <w:rPr>
          <w:rFonts w:ascii="Bookman Old Style" w:hAnsi="Bookman Old Style"/>
          <w:bCs/>
          <w:sz w:val="22"/>
          <w:szCs w:val="22"/>
        </w:rPr>
        <w:t>, sopesado o aumento do valor da gratificação instituída pela Lei n.º 10.334/2015. (AgInt na Suspensão de Segurança nº 2.899/MT).</w:t>
      </w:r>
      <w:r w:rsidRPr="002815D0">
        <w:rPr>
          <w:rFonts w:ascii="Bookman Old Style" w:hAnsi="Bookman Old Style"/>
          <w:b/>
          <w:sz w:val="22"/>
          <w:szCs w:val="22"/>
        </w:rPr>
        <w:t xml:space="preserve"> </w:t>
      </w:r>
      <w:r w:rsidRPr="002815D0">
        <w:rPr>
          <w:rFonts w:ascii="Bookman Old Style" w:hAnsi="Bookman Old Style"/>
          <w:bCs/>
          <w:sz w:val="22"/>
          <w:szCs w:val="22"/>
        </w:rPr>
        <w:t>A CNGC traduz-se em regulamento de caráter genérico, abstrato e impessoal, de modo que não comporta correção por via de Mandado de Segurança, o qual não se presta para impugnar leis em tese, consoante a Súmula 266 do STF.</w:t>
      </w:r>
      <w:r w:rsidRPr="002815D0">
        <w:rPr>
          <w:rFonts w:ascii="Bookman Old Style" w:hAnsi="Bookman Old Style"/>
          <w:b/>
          <w:sz w:val="22"/>
          <w:szCs w:val="22"/>
        </w:rPr>
        <w:t xml:space="preserve"> </w:t>
      </w:r>
      <w:r w:rsidRPr="002815D0">
        <w:rPr>
          <w:rFonts w:ascii="Bookman Old Style" w:hAnsi="Bookman Old Style"/>
          <w:bCs/>
          <w:sz w:val="22"/>
          <w:szCs w:val="22"/>
        </w:rPr>
        <w:t>A ação mandamental visa tutelar apenas situações que objetivamente atentem contra a esfera do direito individual do administrado, não abrangendo ato normativo geral e abstrato, editado em exercício do seu poder regulamentar. (TJMT – MS nº 59028/2015)</w:t>
      </w:r>
      <w:r w:rsidRPr="002815D0">
        <w:rPr>
          <w:rFonts w:ascii="Bookman Old Style" w:hAnsi="Bookman Old Style"/>
          <w:b/>
          <w:sz w:val="22"/>
          <w:szCs w:val="22"/>
        </w:rPr>
        <w:t xml:space="preserve">. </w:t>
      </w:r>
      <w:r w:rsidRPr="002815D0">
        <w:rPr>
          <w:rFonts w:ascii="Bookman Old Style" w:hAnsi="Bookman Old Style"/>
          <w:bCs/>
          <w:sz w:val="22"/>
          <w:szCs w:val="22"/>
        </w:rPr>
        <w:t>O CNJ delegou aos tribunais a obrigação de incluir, nas respectivas propostas orçamentárias, verba específica para custeio de despesas dos oficiais de Justiça (STJ, RMS nº 29308/GO – Relator: Min. Nefi Cordeiro – 15.5.2014).</w:t>
      </w:r>
      <w:r w:rsidRPr="002815D0">
        <w:rPr>
          <w:rFonts w:ascii="Bookman Old Style" w:hAnsi="Bookman Old Style"/>
          <w:b/>
          <w:sz w:val="22"/>
          <w:szCs w:val="22"/>
        </w:rPr>
        <w:t xml:space="preserve"> </w:t>
      </w:r>
      <w:r w:rsidRPr="002815D0">
        <w:rPr>
          <w:rFonts w:ascii="Bookman Old Style" w:hAnsi="Bookman Old Style"/>
          <w:bCs/>
          <w:sz w:val="22"/>
          <w:szCs w:val="22"/>
        </w:rPr>
        <w:t>Se as autoridades impetradas atenderam a determinação emanada do CNJ, inexiste qualquer invasão de competência legislativa.</w:t>
      </w:r>
      <w:r w:rsidRPr="002815D0">
        <w:rPr>
          <w:rFonts w:ascii="Bookman Old Style" w:hAnsi="Bookman Old Style"/>
          <w:b/>
          <w:sz w:val="22"/>
          <w:szCs w:val="22"/>
        </w:rPr>
        <w:t xml:space="preserve"> </w:t>
      </w:r>
      <w:r w:rsidRPr="002815D0">
        <w:rPr>
          <w:rFonts w:ascii="Bookman Old Style" w:hAnsi="Bookman Old Style"/>
          <w:bCs/>
          <w:sz w:val="22"/>
          <w:szCs w:val="22"/>
        </w:rPr>
        <w:t xml:space="preserve">O VIPAE, atualmente no valor de R$4.600,00 (quatro mil e seiscentos reais), </w:t>
      </w:r>
      <w:r w:rsidRPr="002815D0">
        <w:rPr>
          <w:rFonts w:ascii="Bookman Old Style" w:hAnsi="Bookman Old Style"/>
          <w:b/>
          <w:sz w:val="22"/>
          <w:szCs w:val="22"/>
          <w:u w:val="single"/>
        </w:rPr>
        <w:t>abrange todos os feitos inerentes à Fazenda Pública, inclusive em sede de execução fiscal</w:t>
      </w:r>
      <w:r w:rsidRPr="002815D0">
        <w:rPr>
          <w:rFonts w:ascii="Bookman Old Style" w:hAnsi="Bookman Old Style"/>
          <w:bCs/>
          <w:sz w:val="22"/>
          <w:szCs w:val="22"/>
        </w:rPr>
        <w:t>. (TJMT - Autos nº 1000783-02.2017.8.11.0000. Desembargador Relator Marcos Machado. DJe 22/11/2019) (grifei)</w:t>
      </w:r>
    </w:p>
    <w:p w14:paraId="796C6C5A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Excelência, com o devido respeito, o Provimento nº 7 de 15 de fevereiro de 2022 pretendeu criar situação jurídica que, com a devida vênia, colide com a Lei Estadual nº 10.334/2015, além de definir situação jurídica por ato exclusivo da corregedoria em detrimento do entendimento em sentido absolutamente contrário firmado pelo Órgão Especial deste Tribunal de Justiça.</w:t>
      </w:r>
    </w:p>
    <w:p w14:paraId="4F85C449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Outrossim, insta salientar que a ínclita Desembargadora Maria Erotides Kneip (Consulta Cia n. 0061763-97.2015.8.11.0000) asseverou:</w:t>
      </w:r>
    </w:p>
    <w:p w14:paraId="59C80DA5" w14:textId="77777777" w:rsidR="007D5FB8" w:rsidRPr="00F41B07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</w:rPr>
      </w:pPr>
      <w:r w:rsidRPr="002815D0">
        <w:rPr>
          <w:rFonts w:ascii="Bookman Old Style" w:hAnsi="Bookman Old Style"/>
          <w:bCs/>
          <w:sz w:val="22"/>
          <w:szCs w:val="22"/>
        </w:rPr>
        <w:t xml:space="preserve">Destaco, enfim, que recentemente o Tribunal Pleno majorou o valor da referida verba paga aos Oficias de Justiça a fim de atender os Mandados de Justiça Gratuita (julho de 2015 – R$ 3.500,00). </w:t>
      </w:r>
      <w:r w:rsidRPr="002815D0">
        <w:rPr>
          <w:rFonts w:ascii="Bookman Old Style" w:hAnsi="Bookman Old Style"/>
          <w:b/>
          <w:bCs/>
          <w:sz w:val="22"/>
          <w:szCs w:val="22"/>
        </w:rPr>
        <w:t>Assim, verifica-se que a verba indenizatória instituída pela Lei n. 10.138/2014, igualmente destina-se a cobrir as despesas de deslocamento dos Meirinhos nos processos que envolvem a Fazenda Pública, conforme determinado pelo Conselho Nacional de Justiça</w:t>
      </w:r>
      <w:r w:rsidRPr="002815D0">
        <w:rPr>
          <w:rFonts w:ascii="Bookman Old Style" w:hAnsi="Bookman Old Style"/>
          <w:bCs/>
          <w:sz w:val="22"/>
          <w:szCs w:val="22"/>
        </w:rPr>
        <w:t>. Destaco, enfim, que recentemente fora proferida decisão idêntica numa consulta formulada pela Juíza de Direito da Comarca de Primavera do Leste (cia n. 0034436-80.2015).</w:t>
      </w:r>
    </w:p>
    <w:p w14:paraId="6AC046B5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Ademais,</w:t>
      </w:r>
      <w:r w:rsidRPr="00F41B07">
        <w:rPr>
          <w:rFonts w:ascii="Bookman Old Style" w:hAnsi="Bookman Old Style"/>
          <w:bCs/>
        </w:rPr>
        <w:tab/>
        <w:t>importante</w:t>
      </w:r>
      <w:r w:rsidRPr="00F41B07">
        <w:rPr>
          <w:rFonts w:ascii="Bookman Old Style" w:hAnsi="Bookman Old Style"/>
          <w:bCs/>
        </w:rPr>
        <w:tab/>
        <w:t>destacar o Pedido de Providências nº 37/2017 da CGJ-MT:</w:t>
      </w:r>
    </w:p>
    <w:p w14:paraId="6D6590CD" w14:textId="77777777" w:rsidR="007D5FB8" w:rsidRPr="002815D0" w:rsidRDefault="007D5FB8" w:rsidP="00985A08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“Desse modo, verifico que a orientação ora postulada, já se encontra exaustivamente regulamentada, na Resolução 153 do CNJ, nas Leis Estaduais 10.138/2014 e 10.334/2015, e ainda na Consolidação das Normas Gerais da Corregedoria-Geral de Justiça vigente, de forma expressa.</w:t>
      </w:r>
    </w:p>
    <w:p w14:paraId="6C70FCC2" w14:textId="77777777" w:rsidR="007D5FB8" w:rsidRPr="00F41B07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</w:rPr>
      </w:pPr>
      <w:r w:rsidRPr="002815D0">
        <w:rPr>
          <w:rFonts w:ascii="Bookman Old Style" w:hAnsi="Bookman Old Style"/>
          <w:bCs/>
          <w:sz w:val="22"/>
          <w:szCs w:val="22"/>
        </w:rPr>
        <w:t>Ante o exposto, DEFIRO o pedido formulado às fls. 03/08 e, por consequência, DETERMINO a expedição de ofício às Varas e Magistrados do Poder Judiciário do Estado de Mato Grosso recomendando a observância das normas atinentes à verba indenizatória que visam cobrir as despesas de deslocamento dos Oficiais de Justiça nos processos que envolvem a Fazenda Pública.”</w:t>
      </w:r>
    </w:p>
    <w:p w14:paraId="459D9B15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/>
          <w:bCs/>
          <w:u w:val="single"/>
        </w:rPr>
      </w:pPr>
      <w:r w:rsidRPr="00F41B07">
        <w:rPr>
          <w:rFonts w:ascii="Bookman Old Style" w:hAnsi="Bookman Old Style"/>
          <w:bCs/>
        </w:rPr>
        <w:t xml:space="preserve">Nesse sentido, </w:t>
      </w:r>
      <w:r w:rsidRPr="00F41B07">
        <w:rPr>
          <w:rFonts w:ascii="Bookman Old Style" w:hAnsi="Bookman Old Style"/>
          <w:b/>
          <w:bCs/>
          <w:u w:val="single"/>
        </w:rPr>
        <w:t>determinar que a Fazenda Pública recolha valores para pagamento das diligências dos Oficiais de Justiça contraria a decisão do Superior Tribunal de Justiça, acarreta ingente prejuízo ao agravante, e, consequemente, enseja o pagamento em duplicidade ao oficial de justiça.</w:t>
      </w:r>
    </w:p>
    <w:p w14:paraId="4A53512A" w14:textId="4D9BB5F0" w:rsidR="007D5FB8" w:rsidRPr="00F41B07" w:rsidRDefault="00DB3F9B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/>
          <w:bCs/>
          <w:u w:val="single"/>
        </w:rPr>
      </w:pPr>
      <w:r w:rsidRPr="00F41B07">
        <w:rPr>
          <w:rFonts w:ascii="Bookman Old Style" w:hAnsi="Bookman Old Style"/>
          <w:b/>
          <w:bCs/>
          <w:u w:val="single"/>
        </w:rPr>
        <w:t>C</w:t>
      </w:r>
      <w:r w:rsidR="007D5FB8" w:rsidRPr="00F41B07">
        <w:rPr>
          <w:rFonts w:ascii="Bookman Old Style" w:hAnsi="Bookman Old Style"/>
          <w:b/>
          <w:bCs/>
          <w:u w:val="single"/>
        </w:rPr>
        <w:t xml:space="preserve">omo a norma da Corregedoria pode irradiar maior força normativa que as decisões do Órgão Especial </w:t>
      </w:r>
      <w:r w:rsidRPr="00F41B07">
        <w:rPr>
          <w:rFonts w:ascii="Bookman Old Style" w:hAnsi="Bookman Old Style"/>
          <w:b/>
          <w:bCs/>
          <w:u w:val="single"/>
        </w:rPr>
        <w:t>do</w:t>
      </w:r>
      <w:r w:rsidR="007D5FB8" w:rsidRPr="00F41B07">
        <w:rPr>
          <w:rFonts w:ascii="Bookman Old Style" w:hAnsi="Bookman Old Style"/>
          <w:b/>
          <w:bCs/>
          <w:u w:val="single"/>
        </w:rPr>
        <w:t xml:space="preserve"> Tribunal</w:t>
      </w:r>
      <w:r w:rsidRPr="00F41B07">
        <w:rPr>
          <w:rFonts w:ascii="Bookman Old Style" w:hAnsi="Bookman Old Style"/>
          <w:b/>
          <w:bCs/>
          <w:u w:val="single"/>
        </w:rPr>
        <w:t xml:space="preserve"> de Justiça de Mato Grosso</w:t>
      </w:r>
      <w:r w:rsidR="007D5FB8" w:rsidRPr="00F41B07">
        <w:rPr>
          <w:rFonts w:ascii="Bookman Old Style" w:hAnsi="Bookman Old Style"/>
          <w:b/>
          <w:bCs/>
          <w:u w:val="single"/>
        </w:rPr>
        <w:t>? Impensável.</w:t>
      </w:r>
    </w:p>
    <w:p w14:paraId="795D9E9B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 xml:space="preserve">O agravante não desconhece o teor do Provimento TJMT/CGJ n. 7, de 15 de fevereiro de 2022, mas com o máximo respeito à decisão que deu origem ao referido Provimento, </w:t>
      </w:r>
      <w:r w:rsidRPr="00F41B07">
        <w:rPr>
          <w:rFonts w:ascii="Bookman Old Style" w:hAnsi="Bookman Old Style"/>
          <w:b/>
          <w:u w:val="single"/>
        </w:rPr>
        <w:t>entendimento em sentido contrário ao defendido neste recurso representaria a absoluta dissonância com a decisão proferida pelo STJ</w:t>
      </w:r>
      <w:r w:rsidRPr="00F41B07">
        <w:rPr>
          <w:rFonts w:ascii="Bookman Old Style" w:hAnsi="Bookman Old Style"/>
          <w:bCs/>
        </w:rPr>
        <w:t>, bem como precedentes do Tribunal de Justiça de Mato Grosso.</w:t>
      </w:r>
    </w:p>
    <w:p w14:paraId="179AA529" w14:textId="699F9B51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Em dois agravos de instrumento interpostos pelo Município de Primavera do Leste, quais sejam, os de nº 1013095-39.2019.8.11.0000 e 1006960-11.2019.8.11.0000, o município obteve êxito.</w:t>
      </w:r>
    </w:p>
    <w:p w14:paraId="22BECB52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No processo de nº 1006960-11-2019.8.11.0000, o eminente Desembargador Relator Marcio Vidal, em decisão monocrática, decidiu conforme trecho a seguir destacado:</w:t>
      </w:r>
    </w:p>
    <w:p w14:paraId="0C8ACFD3" w14:textId="77777777" w:rsidR="007D5FB8" w:rsidRPr="002815D0" w:rsidRDefault="007D5FB8" w:rsidP="00985A08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[...] Dessa forma, considerando que a verba foi incluída nos rendimentos dos oficiais de justiça, para as ações, ajuizadas por partes que gozam de isenção das custas e despesas processuais, não fossem prejudicadas, ante a ausência de pagamento, não há falar em paralisação do feito até a quitação das custas pelos serviços daqueles servidores.</w:t>
      </w:r>
    </w:p>
    <w:p w14:paraId="44538C9F" w14:textId="77777777" w:rsidR="007D5FB8" w:rsidRPr="002815D0" w:rsidRDefault="007D5FB8" w:rsidP="00985A08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Nesse norte, entendo que assiste razão ao Município de Primavera do Leste, e, por isso, a decisão recorrida deve ser reformada, para dar prosseguimento à diligência a ser cumprida pelo Oficial de Justiça.</w:t>
      </w:r>
    </w:p>
    <w:p w14:paraId="544687BA" w14:textId="77777777" w:rsidR="007D5FB8" w:rsidRPr="002815D0" w:rsidRDefault="007D5FB8" w:rsidP="00985A08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Em razão da ausência de angularização processual, bem como a desnecessidade de oitiva da Procuradoria-Geral de Justiça, entendo que prejudicada a apreciação do pedido de liminar e julgo o mérito do Agravo de Instrumento.</w:t>
      </w:r>
    </w:p>
    <w:p w14:paraId="30D1CDDA" w14:textId="77777777" w:rsidR="007D5FB8" w:rsidRPr="002815D0" w:rsidRDefault="007D5FB8" w:rsidP="00985A08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 xml:space="preserve">Ante o exposto, </w:t>
      </w:r>
      <w:r w:rsidRPr="002815D0">
        <w:rPr>
          <w:rFonts w:ascii="Bookman Old Style" w:hAnsi="Bookman Old Style"/>
          <w:b/>
          <w:sz w:val="22"/>
          <w:szCs w:val="22"/>
          <w:u w:val="single"/>
        </w:rPr>
        <w:t>DOU PROVIMENTO ao presente Agravo de Instrumento, para que seja dado prosseguimento do feito, sem a exigência da cobrança do pagamento de diligência para o Oficial de Justiça</w:t>
      </w:r>
      <w:r w:rsidRPr="002815D0">
        <w:rPr>
          <w:rFonts w:ascii="Bookman Old Style" w:hAnsi="Bookman Old Style"/>
          <w:bCs/>
          <w:sz w:val="22"/>
          <w:szCs w:val="22"/>
        </w:rPr>
        <w:t>.</w:t>
      </w:r>
    </w:p>
    <w:p w14:paraId="7BD2F185" w14:textId="77777777" w:rsidR="007D5FB8" w:rsidRPr="002815D0" w:rsidRDefault="007D5FB8" w:rsidP="00985A08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Transitada em julgado, arquivem-se os autos.</w:t>
      </w:r>
    </w:p>
    <w:p w14:paraId="66886689" w14:textId="77777777" w:rsidR="007D5FB8" w:rsidRPr="002815D0" w:rsidRDefault="007D5FB8" w:rsidP="00985A08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Intimem-se. Cumpra-se.</w:t>
      </w:r>
    </w:p>
    <w:p w14:paraId="19D29347" w14:textId="77777777" w:rsidR="007D5FB8" w:rsidRPr="002815D0" w:rsidRDefault="007D5FB8" w:rsidP="00985A08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Cuiabá/MT, 06 de junho de 2019.</w:t>
      </w:r>
    </w:p>
    <w:p w14:paraId="3E68C7C9" w14:textId="77777777" w:rsidR="007D5FB8" w:rsidRPr="002815D0" w:rsidRDefault="007D5FB8" w:rsidP="00985A08">
      <w:pPr>
        <w:pBdr>
          <w:left w:val="single" w:sz="4" w:space="4" w:color="auto"/>
        </w:pBdr>
        <w:shd w:val="clear" w:color="auto" w:fill="FFFFFF"/>
        <w:spacing w:before="12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Des. Márcio VIDAL,</w:t>
      </w:r>
    </w:p>
    <w:p w14:paraId="54C53E50" w14:textId="77777777" w:rsidR="007D5FB8" w:rsidRPr="002815D0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Relator.</w:t>
      </w:r>
    </w:p>
    <w:p w14:paraId="2DF46A2A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No processo de nº 1013095-39.2019.8.11.0000, ocorrera a concessão da liminar pela eminente Desembargadora Relatora Maria Erotides Kneip, tendo ocorrido a perda do objeto posteriormente, vez que o ato já havia sido cumprido sem o pagamento da diligência, conforme trecho a seguir indicado:</w:t>
      </w:r>
    </w:p>
    <w:p w14:paraId="1499A4B4" w14:textId="77777777" w:rsidR="007D5FB8" w:rsidRPr="002815D0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[...] Nesse sentido, em 2014 foi instituída por Lei Estadual verba indenizatória aos oficiais de justiça deste Estado para cumprimento de Mandados da Justiça Gratuita, majorada em 2015, destinando-se, também, a cobrir as despesas de deslocamento dos meirinhos nos processos que envolvem a Fazenda Pública, conforme redação do § 7º, do art. 649 da NCNGC.</w:t>
      </w:r>
    </w:p>
    <w:p w14:paraId="65503FE4" w14:textId="77777777" w:rsidR="007D5FB8" w:rsidRPr="002815D0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 xml:space="preserve">[...] Assim, presente o fumus boni iuris, </w:t>
      </w:r>
      <w:r w:rsidRPr="002815D0">
        <w:rPr>
          <w:rFonts w:ascii="Bookman Old Style" w:hAnsi="Bookman Old Style"/>
          <w:b/>
          <w:sz w:val="22"/>
          <w:szCs w:val="22"/>
          <w:u w:val="single"/>
        </w:rPr>
        <w:t>DEFIRO a antecipação dos efeitos da tutela recursal pleiteada, para determinar o cumprimento do ato independentemente do pagamento da despesa do oficial de justiça</w:t>
      </w:r>
      <w:r w:rsidRPr="002815D0">
        <w:rPr>
          <w:rFonts w:ascii="Bookman Old Style" w:hAnsi="Bookman Old Style"/>
          <w:bCs/>
          <w:sz w:val="22"/>
          <w:szCs w:val="22"/>
        </w:rPr>
        <w:t>.</w:t>
      </w:r>
    </w:p>
    <w:p w14:paraId="52AFF800" w14:textId="77777777" w:rsidR="007D5FB8" w:rsidRPr="002815D0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Comunique-se o Juízo a quo.</w:t>
      </w:r>
    </w:p>
    <w:p w14:paraId="43CA009A" w14:textId="77777777" w:rsidR="007D5FB8" w:rsidRPr="002815D0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Intime-se o Agravado para apresentar contrarrazões, no prazo legal.</w:t>
      </w:r>
    </w:p>
    <w:p w14:paraId="3785DD4D" w14:textId="77777777" w:rsidR="007D5FB8" w:rsidRPr="002815D0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Após, conclusos.</w:t>
      </w:r>
    </w:p>
    <w:p w14:paraId="2587A625" w14:textId="77777777" w:rsidR="007D5FB8" w:rsidRPr="002815D0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Cumpra-se.</w:t>
      </w:r>
    </w:p>
    <w:p w14:paraId="5FFDA4BE" w14:textId="77777777" w:rsidR="007D5FB8" w:rsidRPr="002815D0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Cuiabá, data da assinatura eletrônica.</w:t>
      </w:r>
    </w:p>
    <w:p w14:paraId="20A5FBEB" w14:textId="77777777" w:rsidR="007D5FB8" w:rsidRPr="002815D0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  <w:sz w:val="22"/>
          <w:szCs w:val="22"/>
        </w:rPr>
      </w:pPr>
      <w:r w:rsidRPr="002815D0">
        <w:rPr>
          <w:rFonts w:ascii="Bookman Old Style" w:hAnsi="Bookman Old Style"/>
          <w:bCs/>
          <w:sz w:val="22"/>
          <w:szCs w:val="22"/>
        </w:rPr>
        <w:t>Desa. MARIA EROTIDES KNEIP</w:t>
      </w:r>
    </w:p>
    <w:p w14:paraId="1ABE399E" w14:textId="77777777" w:rsidR="007D5FB8" w:rsidRPr="00F41B07" w:rsidRDefault="007D5FB8" w:rsidP="007D5FB8">
      <w:pPr>
        <w:pBdr>
          <w:left w:val="single" w:sz="4" w:space="4" w:color="auto"/>
        </w:pBdr>
        <w:shd w:val="clear" w:color="auto" w:fill="FFFFFF"/>
        <w:spacing w:before="120" w:after="240" w:line="276" w:lineRule="auto"/>
        <w:ind w:left="1701"/>
        <w:jc w:val="both"/>
        <w:rPr>
          <w:rFonts w:ascii="Bookman Old Style" w:hAnsi="Bookman Old Style"/>
          <w:bCs/>
        </w:rPr>
      </w:pPr>
      <w:r w:rsidRPr="002815D0">
        <w:rPr>
          <w:rFonts w:ascii="Bookman Old Style" w:hAnsi="Bookman Old Style"/>
          <w:bCs/>
          <w:sz w:val="22"/>
          <w:szCs w:val="22"/>
        </w:rPr>
        <w:t>Relatora</w:t>
      </w:r>
    </w:p>
    <w:p w14:paraId="58B26EE5" w14:textId="069EF400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 xml:space="preserve">Portanto, </w:t>
      </w:r>
      <w:r w:rsidR="00DB3F9B" w:rsidRPr="00F41B07">
        <w:rPr>
          <w:rFonts w:ascii="Bookman Old Style" w:hAnsi="Bookman Old Style"/>
          <w:bCs/>
        </w:rPr>
        <w:t xml:space="preserve">deve ser determinada que </w:t>
      </w:r>
      <w:r w:rsidRPr="00F41B07">
        <w:rPr>
          <w:rFonts w:ascii="Bookman Old Style" w:hAnsi="Bookman Old Style"/>
          <w:bCs/>
          <w:u w:val="single"/>
        </w:rPr>
        <w:t>a citação por oficial de justiça seja realizada independentemente de pagamento por parte da Fazenda Pública</w:t>
      </w:r>
      <w:r w:rsidRPr="00F41B07">
        <w:rPr>
          <w:rFonts w:ascii="Bookman Old Style" w:hAnsi="Bookman Old Style"/>
          <w:bCs/>
        </w:rPr>
        <w:t>.</w:t>
      </w:r>
    </w:p>
    <w:bookmarkEnd w:id="0"/>
    <w:p w14:paraId="50551AD0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</w:p>
    <w:p w14:paraId="6BF26C4F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/>
          <w:b/>
          <w:bCs/>
        </w:rPr>
      </w:pPr>
      <w:r w:rsidRPr="00F41B07">
        <w:rPr>
          <w:rFonts w:ascii="Bookman Old Style" w:hAnsi="Bookman Old Style"/>
          <w:b/>
          <w:bCs/>
        </w:rPr>
        <w:t>4. DO EFEITO SUSPENSIVO ATIVO</w:t>
      </w:r>
    </w:p>
    <w:p w14:paraId="4E320F3B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Eminente Desembargador(a) Relator(a), o Município de Campinápolis pugna pela concessão do efeito suspensivo, vez que presentes os requisitos para tal.</w:t>
      </w:r>
    </w:p>
    <w:p w14:paraId="717F2013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 xml:space="preserve">O </w:t>
      </w:r>
      <w:r w:rsidRPr="00F41B07">
        <w:rPr>
          <w:rFonts w:ascii="Bookman Old Style" w:hAnsi="Bookman Old Style"/>
          <w:bCs/>
          <w:i/>
        </w:rPr>
        <w:t>fumus boni iuris</w:t>
      </w:r>
      <w:r w:rsidRPr="00F41B07">
        <w:rPr>
          <w:rFonts w:ascii="Bookman Old Style" w:hAnsi="Bookman Old Style"/>
          <w:bCs/>
        </w:rPr>
        <w:t xml:space="preserve"> se encontra presente em razão do defendido no presente recurso, pois há decisão do Superior Tribunal de Justiça (SUSPENSÃO DE SEGURANÇA Nº 2.899 – MT – 2017/0159664-5) cujo efeito é a </w:t>
      </w:r>
      <w:r w:rsidRPr="00F41B07">
        <w:rPr>
          <w:rFonts w:ascii="Bookman Old Style" w:hAnsi="Bookman Old Style"/>
          <w:b/>
          <w:u w:val="single"/>
        </w:rPr>
        <w:t>desnecessidade da cobrança da Fazenda Pública acerca da diligência do Meirinho</w:t>
      </w:r>
      <w:r w:rsidRPr="00F41B07">
        <w:rPr>
          <w:rFonts w:ascii="Bookman Old Style" w:hAnsi="Bookman Old Style"/>
          <w:bCs/>
        </w:rPr>
        <w:t>.</w:t>
      </w:r>
    </w:p>
    <w:p w14:paraId="34FE6A58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 xml:space="preserve">Por outro giro, no que concerne ao </w:t>
      </w:r>
      <w:r w:rsidRPr="00F41B07">
        <w:rPr>
          <w:rFonts w:ascii="Bookman Old Style" w:hAnsi="Bookman Old Style"/>
          <w:bCs/>
          <w:i/>
        </w:rPr>
        <w:t>periculum in mora</w:t>
      </w:r>
      <w:r w:rsidRPr="00F41B07">
        <w:rPr>
          <w:rFonts w:ascii="Bookman Old Style" w:hAnsi="Bookman Old Style"/>
          <w:bCs/>
        </w:rPr>
        <w:t>, fica evidente que a Fazenda Pública Municipal tem a cobrança dos seus tributos sob risco de relevante atraso em decorrência da necessidade de aguardar a decisão final para que seja analisada a dispensabilidade do pagamento da diligência do Meirinho.</w:t>
      </w:r>
    </w:p>
    <w:p w14:paraId="1F428C1C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Portanto, o agravante pugna pela concessão do efeito suspensivo ativo, a fim de que seja determinada o imediato cumprimento da citação por oficial de justiça sem que o agravante tenha que pagar a diligência do Meirinho.</w:t>
      </w:r>
    </w:p>
    <w:p w14:paraId="5705D55A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/>
          <w:bCs/>
        </w:rPr>
      </w:pPr>
    </w:p>
    <w:p w14:paraId="15D6CCF7" w14:textId="77777777" w:rsidR="007D5FB8" w:rsidRPr="00F41B07" w:rsidRDefault="007D5FB8" w:rsidP="007D5FB8">
      <w:pPr>
        <w:shd w:val="clear" w:color="auto" w:fill="FFFFFF"/>
        <w:spacing w:before="120" w:after="240" w:line="276" w:lineRule="auto"/>
        <w:jc w:val="both"/>
        <w:rPr>
          <w:rFonts w:ascii="Bookman Old Style" w:hAnsi="Bookman Old Style"/>
          <w:b/>
          <w:bCs/>
        </w:rPr>
      </w:pPr>
      <w:r w:rsidRPr="00F41B07">
        <w:rPr>
          <w:rFonts w:ascii="Bookman Old Style" w:hAnsi="Bookman Old Style"/>
          <w:b/>
          <w:bCs/>
        </w:rPr>
        <w:t>5. DOS PEDIDOS</w:t>
      </w:r>
    </w:p>
    <w:p w14:paraId="6C81EF74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Por todo o exposto, requer dignem-se Vossa(s) Excelência(s) a:</w:t>
      </w:r>
    </w:p>
    <w:p w14:paraId="4FCC192B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a) Conhecer do presente agravo de instrumento;</w:t>
      </w:r>
    </w:p>
    <w:p w14:paraId="63EE7357" w14:textId="77777777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>b) Atribuir-lhe o efeito suspensivo previsto no art. 1.019, I do CPC, determinando o imediato cumprimento da citação por oficial de justiça sem que o agravante tenha que pagar a diligência do Meirinho;</w:t>
      </w:r>
    </w:p>
    <w:p w14:paraId="4DCBBFF3" w14:textId="0BCCADBB" w:rsidR="007D5FB8" w:rsidRPr="00F41B07" w:rsidRDefault="007D5FB8" w:rsidP="007D5FB8">
      <w:pPr>
        <w:shd w:val="clear" w:color="auto" w:fill="FFFFFF"/>
        <w:spacing w:before="120" w:after="240" w:line="276" w:lineRule="auto"/>
        <w:ind w:firstLine="1701"/>
        <w:jc w:val="both"/>
        <w:rPr>
          <w:rFonts w:ascii="Bookman Old Style" w:hAnsi="Bookman Old Style"/>
          <w:bCs/>
        </w:rPr>
      </w:pPr>
      <w:r w:rsidRPr="00F41B07">
        <w:rPr>
          <w:rFonts w:ascii="Bookman Old Style" w:hAnsi="Bookman Old Style"/>
          <w:bCs/>
        </w:rPr>
        <w:t xml:space="preserve">c) Ao fim, seja dado provimento ao presente recurso para o fim de cassar a decisão interlocutória de determinação do pagamento de diligência do Oficial de Justiça para que seja realizada a citação do agravado na execução fiscal nº </w:t>
      </w:r>
      <w:r w:rsidR="00E30AA8" w:rsidRPr="00E30AA8">
        <w:rPr>
          <w:rFonts w:ascii="Bookman Old Style" w:hAnsi="Bookman Old Style" w:cs="Tahoma"/>
          <w:color w:val="000000" w:themeColor="text1"/>
        </w:rPr>
        <w:t>1000149-25.2021.8.11.0110</w:t>
      </w:r>
      <w:r w:rsidRPr="00F41B07">
        <w:rPr>
          <w:rFonts w:ascii="Bookman Old Style" w:hAnsi="Bookman Old Style"/>
          <w:bCs/>
        </w:rPr>
        <w:t>, em razão da relevante fundamentação acima exposta, confirmado o efeito suspensivo ativo.</w:t>
      </w:r>
    </w:p>
    <w:p w14:paraId="1C8FA3F9" w14:textId="77777777" w:rsidR="007D5FB8" w:rsidRPr="00F41B07" w:rsidRDefault="007D5FB8" w:rsidP="007D5FB8">
      <w:pPr>
        <w:spacing w:before="240" w:after="240" w:line="276" w:lineRule="auto"/>
        <w:ind w:firstLine="1701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 w:cs="Tahoma"/>
          <w:color w:val="000000" w:themeColor="text1"/>
        </w:rPr>
        <w:t>Nesses termos, pede-se deferimento.</w:t>
      </w:r>
    </w:p>
    <w:p w14:paraId="4D924100" w14:textId="77777777" w:rsidR="007D5FB8" w:rsidRPr="00F41B07" w:rsidRDefault="007D5FB8" w:rsidP="007D5FB8">
      <w:pPr>
        <w:pStyle w:val="NormalWeb"/>
        <w:spacing w:after="240" w:afterAutospacing="0" w:line="276" w:lineRule="auto"/>
        <w:ind w:firstLine="1701"/>
        <w:jc w:val="both"/>
        <w:rPr>
          <w:rFonts w:ascii="Bookman Old Style" w:hAnsi="Bookman Old Style" w:cs="Tahoma"/>
          <w:color w:val="000000" w:themeColor="text1"/>
        </w:rPr>
      </w:pPr>
      <w:r w:rsidRPr="00F41B07">
        <w:rPr>
          <w:rFonts w:ascii="Bookman Old Style" w:hAnsi="Bookman Old Style" w:cs="Tahoma"/>
          <w:color w:val="000000" w:themeColor="text1"/>
        </w:rPr>
        <w:t xml:space="preserve">Campinápolis/MT, </w:t>
      </w:r>
      <w:r w:rsidRPr="00F41B07">
        <w:rPr>
          <w:rFonts w:ascii="Bookman Old Style" w:hAnsi="Bookman Old Style" w:cs="Tahoma"/>
          <w:i/>
          <w:iCs/>
          <w:color w:val="000000" w:themeColor="text1"/>
        </w:rPr>
        <w:t>data registrada no sistema</w:t>
      </w:r>
      <w:r w:rsidRPr="00F41B07">
        <w:rPr>
          <w:rFonts w:ascii="Bookman Old Style" w:hAnsi="Bookman Old Style" w:cs="Tahoma"/>
          <w:color w:val="000000" w:themeColor="text1"/>
        </w:rPr>
        <w:t>.</w:t>
      </w:r>
    </w:p>
    <w:p w14:paraId="7ED48A04" w14:textId="77777777" w:rsidR="007D5FB8" w:rsidRPr="00F41B07" w:rsidRDefault="007D5FB8" w:rsidP="007D5FB8">
      <w:pPr>
        <w:spacing w:after="240"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</w:p>
    <w:p w14:paraId="3ABFC6AC" w14:textId="77777777" w:rsidR="007D5FB8" w:rsidRPr="00F41B07" w:rsidRDefault="007D5FB8" w:rsidP="007D5FB8">
      <w:pPr>
        <w:spacing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  <w:r w:rsidRPr="00F41B07">
        <w:rPr>
          <w:rFonts w:ascii="Bookman Old Style" w:hAnsi="Bookman Old Style" w:cs="Tahoma"/>
          <w:b/>
          <w:color w:val="000000" w:themeColor="text1"/>
        </w:rPr>
        <w:t>YANN DIEGGO SOUZA TIMÓTHEO DE ALMEIDA</w:t>
      </w:r>
    </w:p>
    <w:p w14:paraId="6A357AD7" w14:textId="77777777" w:rsidR="007D5FB8" w:rsidRPr="00F41B07" w:rsidRDefault="007D5FB8" w:rsidP="007D5FB8">
      <w:pPr>
        <w:spacing w:line="276" w:lineRule="auto"/>
        <w:jc w:val="center"/>
        <w:rPr>
          <w:rFonts w:ascii="Bookman Old Style" w:hAnsi="Bookman Old Style" w:cs="Tahoma"/>
          <w:b/>
          <w:color w:val="000000" w:themeColor="text1"/>
        </w:rPr>
      </w:pPr>
      <w:r w:rsidRPr="00F41B07">
        <w:rPr>
          <w:rFonts w:ascii="Bookman Old Style" w:hAnsi="Bookman Old Style" w:cs="Tahoma"/>
          <w:b/>
          <w:color w:val="000000" w:themeColor="text1"/>
        </w:rPr>
        <w:t>Advogado do Município –Matrícula n. 3596</w:t>
      </w:r>
    </w:p>
    <w:p w14:paraId="40BBBB99" w14:textId="1B055EAF" w:rsidR="00150ED9" w:rsidRPr="00F41B07" w:rsidRDefault="007D5FB8" w:rsidP="007D5FB8">
      <w:pPr>
        <w:shd w:val="clear" w:color="auto" w:fill="FFFFFF"/>
        <w:spacing w:line="276" w:lineRule="auto"/>
        <w:jc w:val="center"/>
        <w:rPr>
          <w:rFonts w:ascii="Bookman Old Style" w:hAnsi="Bookman Old Style"/>
          <w:bCs/>
        </w:rPr>
      </w:pPr>
      <w:r w:rsidRPr="00F41B07">
        <w:rPr>
          <w:rFonts w:ascii="Bookman Old Style" w:hAnsi="Bookman Old Style" w:cs="Tahoma"/>
          <w:color w:val="000000" w:themeColor="text1"/>
        </w:rPr>
        <w:t>OAB/MT 12.025</w:t>
      </w:r>
    </w:p>
    <w:sectPr w:rsidR="00150ED9" w:rsidRPr="00F41B07" w:rsidSect="00623E3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064" w:right="1247" w:bottom="249" w:left="1701" w:header="323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BB5F" w14:textId="77777777" w:rsidR="00116A6F" w:rsidRDefault="00116A6F" w:rsidP="00043722">
      <w:r>
        <w:separator/>
      </w:r>
    </w:p>
  </w:endnote>
  <w:endnote w:type="continuationSeparator" w:id="0">
    <w:p w14:paraId="7AB798B2" w14:textId="77777777" w:rsidR="00116A6F" w:rsidRDefault="00116A6F" w:rsidP="0004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4AAB" w14:textId="77777777" w:rsidR="00DF1B9E" w:rsidRDefault="00DF1B9E" w:rsidP="00DF1B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405870" w14:textId="77777777" w:rsidR="00DF1B9E" w:rsidRDefault="00DF1B9E" w:rsidP="00DF1B9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D465" w14:textId="69771595" w:rsidR="00003949" w:rsidRDefault="00A517AF" w:rsidP="00DF1B9E">
    <w:pPr>
      <w:pStyle w:val="Rodap"/>
      <w:rPr>
        <w:szCs w:val="16"/>
      </w:rPr>
    </w:pPr>
    <w:r>
      <w:rPr>
        <w:noProof/>
        <w:szCs w:val="16"/>
      </w:rPr>
      <w:drawing>
        <wp:anchor distT="0" distB="0" distL="114300" distR="114300" simplePos="0" relativeHeight="251664384" behindDoc="1" locked="0" layoutInCell="1" allowOverlap="1" wp14:anchorId="7209A107" wp14:editId="17FF7F5A">
          <wp:simplePos x="0" y="0"/>
          <wp:positionH relativeFrom="page">
            <wp:posOffset>46355</wp:posOffset>
          </wp:positionH>
          <wp:positionV relativeFrom="bottomMargin">
            <wp:posOffset>56819</wp:posOffset>
          </wp:positionV>
          <wp:extent cx="7391400" cy="696595"/>
          <wp:effectExtent l="0" t="0" r="0" b="825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69" t="-1367" r="3731" b="1367"/>
                  <a:stretch/>
                </pic:blipFill>
                <pic:spPr bwMode="auto">
                  <a:xfrm>
                    <a:off x="0" y="0"/>
                    <a:ext cx="7391400" cy="696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086B1" w14:textId="010CF43B" w:rsidR="00E6020D" w:rsidRDefault="00E6020D" w:rsidP="00DF1B9E">
    <w:pPr>
      <w:pStyle w:val="Rodap"/>
      <w:rPr>
        <w:szCs w:val="16"/>
      </w:rPr>
    </w:pPr>
  </w:p>
  <w:p w14:paraId="2DB258A8" w14:textId="0163B72E" w:rsidR="00C132FA" w:rsidRDefault="00C132FA" w:rsidP="00DF1B9E">
    <w:pPr>
      <w:pStyle w:val="Rodap"/>
      <w:rPr>
        <w:szCs w:val="16"/>
      </w:rPr>
    </w:pPr>
  </w:p>
  <w:p w14:paraId="0091B769" w14:textId="2DDE2466" w:rsidR="00C132FA" w:rsidRDefault="00C132FA" w:rsidP="00DF1B9E">
    <w:pPr>
      <w:pStyle w:val="Rodap"/>
      <w:rPr>
        <w:szCs w:val="16"/>
      </w:rPr>
    </w:pPr>
  </w:p>
  <w:p w14:paraId="1FD44618" w14:textId="118F5D65" w:rsidR="00C132FA" w:rsidRPr="00BC0CB9" w:rsidRDefault="00C132FA" w:rsidP="00C132FA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3AC9" w14:textId="77777777" w:rsidR="00116A6F" w:rsidRDefault="00116A6F" w:rsidP="00043722">
      <w:r>
        <w:separator/>
      </w:r>
    </w:p>
  </w:footnote>
  <w:footnote w:type="continuationSeparator" w:id="0">
    <w:p w14:paraId="757CFCC6" w14:textId="77777777" w:rsidR="00116A6F" w:rsidRDefault="00116A6F" w:rsidP="0004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B6AA" w14:textId="77777777" w:rsidR="00DF1B9E" w:rsidRDefault="00DF1B9E" w:rsidP="00DF1B9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937678" w14:textId="77777777" w:rsidR="00DF1B9E" w:rsidRDefault="00DF1B9E" w:rsidP="00DF1B9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95E5" w14:textId="35342E7D" w:rsidR="00DF1B9E" w:rsidRPr="00C132FA" w:rsidRDefault="004D7750" w:rsidP="00C132F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E7D54B9" wp14:editId="5009500D">
          <wp:simplePos x="0" y="0"/>
          <wp:positionH relativeFrom="column">
            <wp:posOffset>-3810</wp:posOffset>
          </wp:positionH>
          <wp:positionV relativeFrom="paragraph">
            <wp:posOffset>4445</wp:posOffset>
          </wp:positionV>
          <wp:extent cx="5693676" cy="890018"/>
          <wp:effectExtent l="0" t="0" r="2540" b="571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3676" cy="890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7023A"/>
    <w:multiLevelType w:val="hybridMultilevel"/>
    <w:tmpl w:val="8E32A2FA"/>
    <w:lvl w:ilvl="0" w:tplc="17E65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21701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18"/>
    <w:rsid w:val="00000637"/>
    <w:rsid w:val="00003949"/>
    <w:rsid w:val="00005C30"/>
    <w:rsid w:val="000144A9"/>
    <w:rsid w:val="00016508"/>
    <w:rsid w:val="00017147"/>
    <w:rsid w:val="00022798"/>
    <w:rsid w:val="000265D4"/>
    <w:rsid w:val="00032DC4"/>
    <w:rsid w:val="00034F92"/>
    <w:rsid w:val="00040B3E"/>
    <w:rsid w:val="00043722"/>
    <w:rsid w:val="0004704E"/>
    <w:rsid w:val="00050092"/>
    <w:rsid w:val="0005554B"/>
    <w:rsid w:val="0005732D"/>
    <w:rsid w:val="00064D3E"/>
    <w:rsid w:val="00064F1F"/>
    <w:rsid w:val="00067994"/>
    <w:rsid w:val="000776B8"/>
    <w:rsid w:val="000823D6"/>
    <w:rsid w:val="00084C0E"/>
    <w:rsid w:val="000855C0"/>
    <w:rsid w:val="0008767F"/>
    <w:rsid w:val="0009073F"/>
    <w:rsid w:val="000A2838"/>
    <w:rsid w:val="000C01B7"/>
    <w:rsid w:val="000D02AC"/>
    <w:rsid w:val="000D2825"/>
    <w:rsid w:val="000D2D63"/>
    <w:rsid w:val="000D63D8"/>
    <w:rsid w:val="000E365A"/>
    <w:rsid w:val="000E4E7C"/>
    <w:rsid w:val="000F2CBE"/>
    <w:rsid w:val="000F5AD4"/>
    <w:rsid w:val="00100305"/>
    <w:rsid w:val="001029A7"/>
    <w:rsid w:val="001065B4"/>
    <w:rsid w:val="00116A6F"/>
    <w:rsid w:val="00120DF7"/>
    <w:rsid w:val="00123FFB"/>
    <w:rsid w:val="001310F0"/>
    <w:rsid w:val="00131362"/>
    <w:rsid w:val="001338A3"/>
    <w:rsid w:val="00135C0E"/>
    <w:rsid w:val="00136B01"/>
    <w:rsid w:val="00136E87"/>
    <w:rsid w:val="00136F71"/>
    <w:rsid w:val="00150ED9"/>
    <w:rsid w:val="00151FD6"/>
    <w:rsid w:val="001541F6"/>
    <w:rsid w:val="001609EA"/>
    <w:rsid w:val="00162D68"/>
    <w:rsid w:val="00167085"/>
    <w:rsid w:val="00181A54"/>
    <w:rsid w:val="00182916"/>
    <w:rsid w:val="00190FC8"/>
    <w:rsid w:val="001A272E"/>
    <w:rsid w:val="001A59BA"/>
    <w:rsid w:val="001A680B"/>
    <w:rsid w:val="001A6EA2"/>
    <w:rsid w:val="001A7EC8"/>
    <w:rsid w:val="001B4F34"/>
    <w:rsid w:val="001B5A45"/>
    <w:rsid w:val="001B6E73"/>
    <w:rsid w:val="001B73DB"/>
    <w:rsid w:val="001C0079"/>
    <w:rsid w:val="001C01F3"/>
    <w:rsid w:val="001E1C68"/>
    <w:rsid w:val="001E23DA"/>
    <w:rsid w:val="001E5EB8"/>
    <w:rsid w:val="001E614F"/>
    <w:rsid w:val="001E6224"/>
    <w:rsid w:val="001F1F37"/>
    <w:rsid w:val="001F39BC"/>
    <w:rsid w:val="001F427B"/>
    <w:rsid w:val="002068A6"/>
    <w:rsid w:val="0020722A"/>
    <w:rsid w:val="002111A9"/>
    <w:rsid w:val="00220A66"/>
    <w:rsid w:val="002262B1"/>
    <w:rsid w:val="002262D6"/>
    <w:rsid w:val="00226C86"/>
    <w:rsid w:val="0023069A"/>
    <w:rsid w:val="0024610A"/>
    <w:rsid w:val="00256454"/>
    <w:rsid w:val="002637DD"/>
    <w:rsid w:val="00264FB8"/>
    <w:rsid w:val="002657A0"/>
    <w:rsid w:val="00270A0B"/>
    <w:rsid w:val="00273028"/>
    <w:rsid w:val="00276DEF"/>
    <w:rsid w:val="00277167"/>
    <w:rsid w:val="00277AF3"/>
    <w:rsid w:val="00277F57"/>
    <w:rsid w:val="002815D0"/>
    <w:rsid w:val="00287883"/>
    <w:rsid w:val="00292985"/>
    <w:rsid w:val="00292C5C"/>
    <w:rsid w:val="002A04F5"/>
    <w:rsid w:val="002A2C2C"/>
    <w:rsid w:val="002A3408"/>
    <w:rsid w:val="002A4D2F"/>
    <w:rsid w:val="002A50FA"/>
    <w:rsid w:val="002A57D6"/>
    <w:rsid w:val="002B1E4D"/>
    <w:rsid w:val="002B6B4E"/>
    <w:rsid w:val="002C24FA"/>
    <w:rsid w:val="002D074A"/>
    <w:rsid w:val="002D62D2"/>
    <w:rsid w:val="002E0679"/>
    <w:rsid w:val="002E1EEC"/>
    <w:rsid w:val="002E2603"/>
    <w:rsid w:val="002E2BE3"/>
    <w:rsid w:val="002E54F1"/>
    <w:rsid w:val="002F030F"/>
    <w:rsid w:val="002F52DC"/>
    <w:rsid w:val="00305EB5"/>
    <w:rsid w:val="003241B1"/>
    <w:rsid w:val="003265DF"/>
    <w:rsid w:val="00331C12"/>
    <w:rsid w:val="00332D7B"/>
    <w:rsid w:val="00335396"/>
    <w:rsid w:val="00340332"/>
    <w:rsid w:val="00341ADA"/>
    <w:rsid w:val="003471D0"/>
    <w:rsid w:val="00355DE5"/>
    <w:rsid w:val="003629FB"/>
    <w:rsid w:val="00366EF1"/>
    <w:rsid w:val="00370334"/>
    <w:rsid w:val="00376E5C"/>
    <w:rsid w:val="00380FC7"/>
    <w:rsid w:val="0038755C"/>
    <w:rsid w:val="003878C0"/>
    <w:rsid w:val="0038792C"/>
    <w:rsid w:val="003A3D3C"/>
    <w:rsid w:val="003A5806"/>
    <w:rsid w:val="003A5D84"/>
    <w:rsid w:val="003A7818"/>
    <w:rsid w:val="003B61DF"/>
    <w:rsid w:val="003C16FD"/>
    <w:rsid w:val="003C5A48"/>
    <w:rsid w:val="003D02F6"/>
    <w:rsid w:val="003D380E"/>
    <w:rsid w:val="003D4C54"/>
    <w:rsid w:val="003E4D23"/>
    <w:rsid w:val="003E4F31"/>
    <w:rsid w:val="003E6D2A"/>
    <w:rsid w:val="003F5478"/>
    <w:rsid w:val="00406379"/>
    <w:rsid w:val="00406ABD"/>
    <w:rsid w:val="00406E19"/>
    <w:rsid w:val="0041508B"/>
    <w:rsid w:val="0041583F"/>
    <w:rsid w:val="00420AA1"/>
    <w:rsid w:val="00426B7B"/>
    <w:rsid w:val="00427B2E"/>
    <w:rsid w:val="00431B7D"/>
    <w:rsid w:val="004444AB"/>
    <w:rsid w:val="00453117"/>
    <w:rsid w:val="00457C20"/>
    <w:rsid w:val="00462785"/>
    <w:rsid w:val="00465764"/>
    <w:rsid w:val="004732DF"/>
    <w:rsid w:val="00474166"/>
    <w:rsid w:val="00474DE9"/>
    <w:rsid w:val="00474FBF"/>
    <w:rsid w:val="00477915"/>
    <w:rsid w:val="00477AB5"/>
    <w:rsid w:val="00487355"/>
    <w:rsid w:val="00493E04"/>
    <w:rsid w:val="004969F1"/>
    <w:rsid w:val="004A0656"/>
    <w:rsid w:val="004A2224"/>
    <w:rsid w:val="004A48E9"/>
    <w:rsid w:val="004B20C4"/>
    <w:rsid w:val="004C13AD"/>
    <w:rsid w:val="004C1EF7"/>
    <w:rsid w:val="004C1F1E"/>
    <w:rsid w:val="004C3F65"/>
    <w:rsid w:val="004C55CE"/>
    <w:rsid w:val="004D0DEB"/>
    <w:rsid w:val="004D18A7"/>
    <w:rsid w:val="004D33AB"/>
    <w:rsid w:val="004D59A4"/>
    <w:rsid w:val="004D7750"/>
    <w:rsid w:val="004E5AB4"/>
    <w:rsid w:val="004E700F"/>
    <w:rsid w:val="004F2254"/>
    <w:rsid w:val="00501A70"/>
    <w:rsid w:val="00504D1B"/>
    <w:rsid w:val="00505831"/>
    <w:rsid w:val="0050663C"/>
    <w:rsid w:val="00506C81"/>
    <w:rsid w:val="00510BCE"/>
    <w:rsid w:val="00510D2B"/>
    <w:rsid w:val="00521146"/>
    <w:rsid w:val="00524590"/>
    <w:rsid w:val="00524FD6"/>
    <w:rsid w:val="0054042F"/>
    <w:rsid w:val="00545352"/>
    <w:rsid w:val="00550D2C"/>
    <w:rsid w:val="00553F44"/>
    <w:rsid w:val="00561F1C"/>
    <w:rsid w:val="005620B7"/>
    <w:rsid w:val="00573F51"/>
    <w:rsid w:val="00580085"/>
    <w:rsid w:val="0058035B"/>
    <w:rsid w:val="005809E9"/>
    <w:rsid w:val="00581E9C"/>
    <w:rsid w:val="0058386C"/>
    <w:rsid w:val="00583EA1"/>
    <w:rsid w:val="00591B40"/>
    <w:rsid w:val="0059323D"/>
    <w:rsid w:val="00595F8F"/>
    <w:rsid w:val="005A0B66"/>
    <w:rsid w:val="005A5E86"/>
    <w:rsid w:val="005B5E03"/>
    <w:rsid w:val="005B6A43"/>
    <w:rsid w:val="005C0C72"/>
    <w:rsid w:val="005C2AEF"/>
    <w:rsid w:val="005C6158"/>
    <w:rsid w:val="005C6176"/>
    <w:rsid w:val="005C7D1B"/>
    <w:rsid w:val="005D0FC9"/>
    <w:rsid w:val="005D4F43"/>
    <w:rsid w:val="005E317D"/>
    <w:rsid w:val="005E4A9F"/>
    <w:rsid w:val="005E7CCA"/>
    <w:rsid w:val="005F49EB"/>
    <w:rsid w:val="005F69C9"/>
    <w:rsid w:val="005F735C"/>
    <w:rsid w:val="005F7B6C"/>
    <w:rsid w:val="00605051"/>
    <w:rsid w:val="006059C8"/>
    <w:rsid w:val="0061073D"/>
    <w:rsid w:val="006126C0"/>
    <w:rsid w:val="00623E3F"/>
    <w:rsid w:val="006248C4"/>
    <w:rsid w:val="006276D6"/>
    <w:rsid w:val="00627C4E"/>
    <w:rsid w:val="006305C2"/>
    <w:rsid w:val="0064220A"/>
    <w:rsid w:val="006516AB"/>
    <w:rsid w:val="006536F7"/>
    <w:rsid w:val="00662AA4"/>
    <w:rsid w:val="006649DC"/>
    <w:rsid w:val="00675E47"/>
    <w:rsid w:val="00682328"/>
    <w:rsid w:val="00683E9D"/>
    <w:rsid w:val="00685E1B"/>
    <w:rsid w:val="00686784"/>
    <w:rsid w:val="0068734F"/>
    <w:rsid w:val="006918B5"/>
    <w:rsid w:val="0069387A"/>
    <w:rsid w:val="00697655"/>
    <w:rsid w:val="006A23BD"/>
    <w:rsid w:val="006A26EF"/>
    <w:rsid w:val="006A2C8E"/>
    <w:rsid w:val="006A4EEB"/>
    <w:rsid w:val="006A4F1D"/>
    <w:rsid w:val="006B22A3"/>
    <w:rsid w:val="006B2C93"/>
    <w:rsid w:val="006B63CC"/>
    <w:rsid w:val="006B6527"/>
    <w:rsid w:val="006C6251"/>
    <w:rsid w:val="006C6817"/>
    <w:rsid w:val="006C7B30"/>
    <w:rsid w:val="006D0981"/>
    <w:rsid w:val="006D44C1"/>
    <w:rsid w:val="006D4DBA"/>
    <w:rsid w:val="006E3271"/>
    <w:rsid w:val="006E5999"/>
    <w:rsid w:val="006E5EFA"/>
    <w:rsid w:val="006F5E21"/>
    <w:rsid w:val="00715D0F"/>
    <w:rsid w:val="00717620"/>
    <w:rsid w:val="007205C6"/>
    <w:rsid w:val="007213D6"/>
    <w:rsid w:val="0072295B"/>
    <w:rsid w:val="007319CD"/>
    <w:rsid w:val="00734539"/>
    <w:rsid w:val="00744030"/>
    <w:rsid w:val="007505C5"/>
    <w:rsid w:val="00752A87"/>
    <w:rsid w:val="00756320"/>
    <w:rsid w:val="00764897"/>
    <w:rsid w:val="00770367"/>
    <w:rsid w:val="00770540"/>
    <w:rsid w:val="00772CB2"/>
    <w:rsid w:val="00774186"/>
    <w:rsid w:val="00775F62"/>
    <w:rsid w:val="00780BFD"/>
    <w:rsid w:val="00783D5A"/>
    <w:rsid w:val="00791920"/>
    <w:rsid w:val="0079243B"/>
    <w:rsid w:val="0079261A"/>
    <w:rsid w:val="007964BA"/>
    <w:rsid w:val="007A2EDC"/>
    <w:rsid w:val="007A540B"/>
    <w:rsid w:val="007A6817"/>
    <w:rsid w:val="007A7CE6"/>
    <w:rsid w:val="007A7DDB"/>
    <w:rsid w:val="007A7F14"/>
    <w:rsid w:val="007B56F6"/>
    <w:rsid w:val="007C05FC"/>
    <w:rsid w:val="007C2DCE"/>
    <w:rsid w:val="007C3145"/>
    <w:rsid w:val="007C3F23"/>
    <w:rsid w:val="007C4AD9"/>
    <w:rsid w:val="007C610F"/>
    <w:rsid w:val="007D33FE"/>
    <w:rsid w:val="007D3E59"/>
    <w:rsid w:val="007D5FB8"/>
    <w:rsid w:val="007E1720"/>
    <w:rsid w:val="007E291A"/>
    <w:rsid w:val="007F7FA5"/>
    <w:rsid w:val="008001A9"/>
    <w:rsid w:val="00802C6D"/>
    <w:rsid w:val="008132AB"/>
    <w:rsid w:val="008217C7"/>
    <w:rsid w:val="00822A2D"/>
    <w:rsid w:val="00823CA8"/>
    <w:rsid w:val="0083672F"/>
    <w:rsid w:val="00836F09"/>
    <w:rsid w:val="00840B38"/>
    <w:rsid w:val="008476E0"/>
    <w:rsid w:val="00847AB2"/>
    <w:rsid w:val="008531D2"/>
    <w:rsid w:val="00855161"/>
    <w:rsid w:val="00856831"/>
    <w:rsid w:val="008571A7"/>
    <w:rsid w:val="0086466B"/>
    <w:rsid w:val="0086484D"/>
    <w:rsid w:val="0086534B"/>
    <w:rsid w:val="0086535A"/>
    <w:rsid w:val="00873AC3"/>
    <w:rsid w:val="00874D80"/>
    <w:rsid w:val="0087514F"/>
    <w:rsid w:val="00877368"/>
    <w:rsid w:val="008805C0"/>
    <w:rsid w:val="008858A0"/>
    <w:rsid w:val="008908C8"/>
    <w:rsid w:val="008A17C0"/>
    <w:rsid w:val="008A222A"/>
    <w:rsid w:val="008A77F5"/>
    <w:rsid w:val="008A7FFA"/>
    <w:rsid w:val="008B76F7"/>
    <w:rsid w:val="008C1147"/>
    <w:rsid w:val="008C3B13"/>
    <w:rsid w:val="008C6B5C"/>
    <w:rsid w:val="008C7ECA"/>
    <w:rsid w:val="008D02D6"/>
    <w:rsid w:val="008D218C"/>
    <w:rsid w:val="008D269C"/>
    <w:rsid w:val="008E1DA1"/>
    <w:rsid w:val="008F61E3"/>
    <w:rsid w:val="00904427"/>
    <w:rsid w:val="00905C2A"/>
    <w:rsid w:val="00915174"/>
    <w:rsid w:val="00917236"/>
    <w:rsid w:val="00920301"/>
    <w:rsid w:val="00920E09"/>
    <w:rsid w:val="00923787"/>
    <w:rsid w:val="00924702"/>
    <w:rsid w:val="009306CB"/>
    <w:rsid w:val="00934694"/>
    <w:rsid w:val="0093656A"/>
    <w:rsid w:val="00940F53"/>
    <w:rsid w:val="009427F3"/>
    <w:rsid w:val="00943EF7"/>
    <w:rsid w:val="00947E46"/>
    <w:rsid w:val="00953035"/>
    <w:rsid w:val="00961A8F"/>
    <w:rsid w:val="0096258B"/>
    <w:rsid w:val="0096484A"/>
    <w:rsid w:val="009675E0"/>
    <w:rsid w:val="00970527"/>
    <w:rsid w:val="00975B13"/>
    <w:rsid w:val="009816E7"/>
    <w:rsid w:val="00985148"/>
    <w:rsid w:val="00985937"/>
    <w:rsid w:val="00985A08"/>
    <w:rsid w:val="00986D1F"/>
    <w:rsid w:val="00991304"/>
    <w:rsid w:val="0099222F"/>
    <w:rsid w:val="0099750E"/>
    <w:rsid w:val="009A057D"/>
    <w:rsid w:val="009A0B38"/>
    <w:rsid w:val="009A2647"/>
    <w:rsid w:val="009A3572"/>
    <w:rsid w:val="009A40D8"/>
    <w:rsid w:val="009B0D40"/>
    <w:rsid w:val="009B2780"/>
    <w:rsid w:val="009C1ED3"/>
    <w:rsid w:val="009D3EBE"/>
    <w:rsid w:val="009D3FA2"/>
    <w:rsid w:val="009D62C4"/>
    <w:rsid w:val="009E0D57"/>
    <w:rsid w:val="009E2409"/>
    <w:rsid w:val="009F13CF"/>
    <w:rsid w:val="009F1C77"/>
    <w:rsid w:val="009F211D"/>
    <w:rsid w:val="009F2E9D"/>
    <w:rsid w:val="009F31E6"/>
    <w:rsid w:val="009F4916"/>
    <w:rsid w:val="009F6290"/>
    <w:rsid w:val="00A01913"/>
    <w:rsid w:val="00A03EC0"/>
    <w:rsid w:val="00A05A83"/>
    <w:rsid w:val="00A112A1"/>
    <w:rsid w:val="00A121C8"/>
    <w:rsid w:val="00A15021"/>
    <w:rsid w:val="00A15609"/>
    <w:rsid w:val="00A16441"/>
    <w:rsid w:val="00A305E4"/>
    <w:rsid w:val="00A35B18"/>
    <w:rsid w:val="00A42C0D"/>
    <w:rsid w:val="00A43A95"/>
    <w:rsid w:val="00A43C5E"/>
    <w:rsid w:val="00A43CE5"/>
    <w:rsid w:val="00A45616"/>
    <w:rsid w:val="00A477BD"/>
    <w:rsid w:val="00A5030F"/>
    <w:rsid w:val="00A517AF"/>
    <w:rsid w:val="00A601D0"/>
    <w:rsid w:val="00A60B50"/>
    <w:rsid w:val="00A619D5"/>
    <w:rsid w:val="00A64D96"/>
    <w:rsid w:val="00A666A3"/>
    <w:rsid w:val="00A71CBA"/>
    <w:rsid w:val="00A750F2"/>
    <w:rsid w:val="00A80D61"/>
    <w:rsid w:val="00A81483"/>
    <w:rsid w:val="00A859C5"/>
    <w:rsid w:val="00AA3FB9"/>
    <w:rsid w:val="00AB1DFE"/>
    <w:rsid w:val="00AB1E9E"/>
    <w:rsid w:val="00AB41EC"/>
    <w:rsid w:val="00AB79DC"/>
    <w:rsid w:val="00AB7F00"/>
    <w:rsid w:val="00AC0952"/>
    <w:rsid w:val="00AC788A"/>
    <w:rsid w:val="00AF0045"/>
    <w:rsid w:val="00AF234A"/>
    <w:rsid w:val="00AF4E89"/>
    <w:rsid w:val="00B002EA"/>
    <w:rsid w:val="00B07604"/>
    <w:rsid w:val="00B10040"/>
    <w:rsid w:val="00B118DF"/>
    <w:rsid w:val="00B14E78"/>
    <w:rsid w:val="00B2093D"/>
    <w:rsid w:val="00B228B3"/>
    <w:rsid w:val="00B278C6"/>
    <w:rsid w:val="00B302FF"/>
    <w:rsid w:val="00B341C2"/>
    <w:rsid w:val="00B373DC"/>
    <w:rsid w:val="00B420A7"/>
    <w:rsid w:val="00B42439"/>
    <w:rsid w:val="00B5147D"/>
    <w:rsid w:val="00B54F18"/>
    <w:rsid w:val="00B56F68"/>
    <w:rsid w:val="00B602AC"/>
    <w:rsid w:val="00B60A76"/>
    <w:rsid w:val="00B62064"/>
    <w:rsid w:val="00B70A53"/>
    <w:rsid w:val="00B72719"/>
    <w:rsid w:val="00B7729D"/>
    <w:rsid w:val="00B82B49"/>
    <w:rsid w:val="00B86AAC"/>
    <w:rsid w:val="00B92A24"/>
    <w:rsid w:val="00B930DF"/>
    <w:rsid w:val="00B95F4F"/>
    <w:rsid w:val="00BA3011"/>
    <w:rsid w:val="00BA787F"/>
    <w:rsid w:val="00BB23B6"/>
    <w:rsid w:val="00BB2F3E"/>
    <w:rsid w:val="00BB32F6"/>
    <w:rsid w:val="00BB7100"/>
    <w:rsid w:val="00BC1779"/>
    <w:rsid w:val="00BC5D5C"/>
    <w:rsid w:val="00BD1C41"/>
    <w:rsid w:val="00BD28A0"/>
    <w:rsid w:val="00BD2CE9"/>
    <w:rsid w:val="00BE4DEE"/>
    <w:rsid w:val="00BE55D6"/>
    <w:rsid w:val="00BE56FC"/>
    <w:rsid w:val="00BF2296"/>
    <w:rsid w:val="00BF370D"/>
    <w:rsid w:val="00C01B77"/>
    <w:rsid w:val="00C05774"/>
    <w:rsid w:val="00C06505"/>
    <w:rsid w:val="00C078CD"/>
    <w:rsid w:val="00C12E46"/>
    <w:rsid w:val="00C132FA"/>
    <w:rsid w:val="00C16495"/>
    <w:rsid w:val="00C30DCA"/>
    <w:rsid w:val="00C311DC"/>
    <w:rsid w:val="00C32BB8"/>
    <w:rsid w:val="00C3448F"/>
    <w:rsid w:val="00C37231"/>
    <w:rsid w:val="00C41B49"/>
    <w:rsid w:val="00C46792"/>
    <w:rsid w:val="00C467F0"/>
    <w:rsid w:val="00C52D9E"/>
    <w:rsid w:val="00C5444C"/>
    <w:rsid w:val="00C70555"/>
    <w:rsid w:val="00C70D61"/>
    <w:rsid w:val="00C75C7D"/>
    <w:rsid w:val="00C81B7E"/>
    <w:rsid w:val="00CA214F"/>
    <w:rsid w:val="00CA42F6"/>
    <w:rsid w:val="00CA583D"/>
    <w:rsid w:val="00CA5DDE"/>
    <w:rsid w:val="00CA6145"/>
    <w:rsid w:val="00CA7A45"/>
    <w:rsid w:val="00CB3D9C"/>
    <w:rsid w:val="00CB710E"/>
    <w:rsid w:val="00CC66C2"/>
    <w:rsid w:val="00CC6CAF"/>
    <w:rsid w:val="00CD1257"/>
    <w:rsid w:val="00CD2513"/>
    <w:rsid w:val="00CE0BF6"/>
    <w:rsid w:val="00CE763A"/>
    <w:rsid w:val="00CF2D02"/>
    <w:rsid w:val="00D016D1"/>
    <w:rsid w:val="00D07AB2"/>
    <w:rsid w:val="00D13CEA"/>
    <w:rsid w:val="00D14EB1"/>
    <w:rsid w:val="00D14FF0"/>
    <w:rsid w:val="00D24853"/>
    <w:rsid w:val="00D27011"/>
    <w:rsid w:val="00D41C9E"/>
    <w:rsid w:val="00D442CF"/>
    <w:rsid w:val="00D50046"/>
    <w:rsid w:val="00D56E50"/>
    <w:rsid w:val="00D710C8"/>
    <w:rsid w:val="00D72348"/>
    <w:rsid w:val="00D7504D"/>
    <w:rsid w:val="00D76E14"/>
    <w:rsid w:val="00D91170"/>
    <w:rsid w:val="00D92CA0"/>
    <w:rsid w:val="00D9505F"/>
    <w:rsid w:val="00D95468"/>
    <w:rsid w:val="00D96B61"/>
    <w:rsid w:val="00DA2DEF"/>
    <w:rsid w:val="00DA2FEB"/>
    <w:rsid w:val="00DB2050"/>
    <w:rsid w:val="00DB3F9B"/>
    <w:rsid w:val="00DB757C"/>
    <w:rsid w:val="00DC7BB1"/>
    <w:rsid w:val="00DD26C5"/>
    <w:rsid w:val="00DD36E5"/>
    <w:rsid w:val="00DD4FFA"/>
    <w:rsid w:val="00DE0B34"/>
    <w:rsid w:val="00DF00EF"/>
    <w:rsid w:val="00DF10FE"/>
    <w:rsid w:val="00DF1B9E"/>
    <w:rsid w:val="00DF62C7"/>
    <w:rsid w:val="00E00A43"/>
    <w:rsid w:val="00E14CFE"/>
    <w:rsid w:val="00E15618"/>
    <w:rsid w:val="00E2241C"/>
    <w:rsid w:val="00E254DD"/>
    <w:rsid w:val="00E30AA8"/>
    <w:rsid w:val="00E34B9E"/>
    <w:rsid w:val="00E40550"/>
    <w:rsid w:val="00E45F87"/>
    <w:rsid w:val="00E5112E"/>
    <w:rsid w:val="00E6020D"/>
    <w:rsid w:val="00E60325"/>
    <w:rsid w:val="00E62B85"/>
    <w:rsid w:val="00E65049"/>
    <w:rsid w:val="00E702C7"/>
    <w:rsid w:val="00E71685"/>
    <w:rsid w:val="00E72922"/>
    <w:rsid w:val="00E73883"/>
    <w:rsid w:val="00E77B9C"/>
    <w:rsid w:val="00E907A7"/>
    <w:rsid w:val="00E92AB3"/>
    <w:rsid w:val="00E949ED"/>
    <w:rsid w:val="00E964F0"/>
    <w:rsid w:val="00E96E22"/>
    <w:rsid w:val="00EA303E"/>
    <w:rsid w:val="00EA4982"/>
    <w:rsid w:val="00EA5813"/>
    <w:rsid w:val="00EB2533"/>
    <w:rsid w:val="00EB569B"/>
    <w:rsid w:val="00EB5FBC"/>
    <w:rsid w:val="00EC347A"/>
    <w:rsid w:val="00EC3BAE"/>
    <w:rsid w:val="00EC6F09"/>
    <w:rsid w:val="00ED3133"/>
    <w:rsid w:val="00ED38A5"/>
    <w:rsid w:val="00EE67F7"/>
    <w:rsid w:val="00EF1301"/>
    <w:rsid w:val="00EF6C37"/>
    <w:rsid w:val="00F01827"/>
    <w:rsid w:val="00F01D48"/>
    <w:rsid w:val="00F12451"/>
    <w:rsid w:val="00F1712E"/>
    <w:rsid w:val="00F171FC"/>
    <w:rsid w:val="00F217E4"/>
    <w:rsid w:val="00F2328E"/>
    <w:rsid w:val="00F255E3"/>
    <w:rsid w:val="00F25F34"/>
    <w:rsid w:val="00F270E3"/>
    <w:rsid w:val="00F40282"/>
    <w:rsid w:val="00F41B07"/>
    <w:rsid w:val="00F45D0D"/>
    <w:rsid w:val="00F52C46"/>
    <w:rsid w:val="00F6302B"/>
    <w:rsid w:val="00F67996"/>
    <w:rsid w:val="00F67A3B"/>
    <w:rsid w:val="00F70B55"/>
    <w:rsid w:val="00F73C00"/>
    <w:rsid w:val="00F740E6"/>
    <w:rsid w:val="00F82F6B"/>
    <w:rsid w:val="00F8326F"/>
    <w:rsid w:val="00F84871"/>
    <w:rsid w:val="00F84CBA"/>
    <w:rsid w:val="00F8614C"/>
    <w:rsid w:val="00F9308B"/>
    <w:rsid w:val="00F94AC7"/>
    <w:rsid w:val="00F94C62"/>
    <w:rsid w:val="00F9536D"/>
    <w:rsid w:val="00FA377A"/>
    <w:rsid w:val="00FC277F"/>
    <w:rsid w:val="00FC44F9"/>
    <w:rsid w:val="00FC6305"/>
    <w:rsid w:val="00FD123D"/>
    <w:rsid w:val="00FD18FF"/>
    <w:rsid w:val="00FD3704"/>
    <w:rsid w:val="00FE09D6"/>
    <w:rsid w:val="00FF0941"/>
    <w:rsid w:val="00FF16C2"/>
    <w:rsid w:val="00FF5020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A2B5D"/>
  <w15:docId w15:val="{78BDD035-3BD6-4428-A596-C441DEC9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3722"/>
    <w:pPr>
      <w:keepNext/>
      <w:outlineLvl w:val="0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5F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3722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437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37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43722"/>
  </w:style>
  <w:style w:type="paragraph" w:styleId="Cabealho">
    <w:name w:val="header"/>
    <w:basedOn w:val="Normal"/>
    <w:link w:val="CabealhoChar"/>
    <w:rsid w:val="000437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37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9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9E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3448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9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F030F"/>
    <w:rPr>
      <w:b/>
      <w:bCs/>
    </w:rPr>
  </w:style>
  <w:style w:type="paragraph" w:styleId="NormalWeb">
    <w:name w:val="Normal (Web)"/>
    <w:basedOn w:val="Normal"/>
    <w:uiPriority w:val="99"/>
    <w:unhideWhenUsed/>
    <w:rsid w:val="002F030F"/>
    <w:pPr>
      <w:spacing w:before="100" w:beforeAutospacing="1" w:after="100" w:afterAutospacing="1"/>
    </w:pPr>
  </w:style>
  <w:style w:type="paragraph" w:customStyle="1" w:styleId="standard">
    <w:name w:val="standard"/>
    <w:basedOn w:val="Normal"/>
    <w:rsid w:val="002F030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2F030F"/>
    <w:rPr>
      <w:i/>
      <w:iCs/>
    </w:rPr>
  </w:style>
  <w:style w:type="paragraph" w:customStyle="1" w:styleId="Standard0">
    <w:name w:val="Standard"/>
    <w:uiPriority w:val="99"/>
    <w:rsid w:val="008653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Textbody">
    <w:name w:val="Text body"/>
    <w:basedOn w:val="Standard0"/>
    <w:uiPriority w:val="99"/>
    <w:rsid w:val="0086535A"/>
    <w:pPr>
      <w:jc w:val="both"/>
    </w:pPr>
  </w:style>
  <w:style w:type="character" w:customStyle="1" w:styleId="WW-Teletipo111111">
    <w:name w:val="WW-Teletipo111111"/>
    <w:rsid w:val="0086535A"/>
    <w:rPr>
      <w:rFonts w:ascii="Courier New" w:eastAsia="Courier New" w:hAnsi="Courier New" w:cs="Courier New" w:hint="default"/>
    </w:rPr>
  </w:style>
  <w:style w:type="paragraph" w:styleId="Ttulo">
    <w:name w:val="Title"/>
    <w:basedOn w:val="Normal"/>
    <w:next w:val="Subttulo"/>
    <w:link w:val="TtuloChar"/>
    <w:qFormat/>
    <w:rsid w:val="009A40D8"/>
    <w:pPr>
      <w:suppressAutoHyphens/>
      <w:jc w:val="center"/>
    </w:pPr>
    <w:rPr>
      <w:color w:val="008000"/>
      <w:sz w:val="32"/>
      <w:szCs w:val="20"/>
    </w:rPr>
  </w:style>
  <w:style w:type="character" w:customStyle="1" w:styleId="TtuloChar">
    <w:name w:val="Título Char"/>
    <w:basedOn w:val="Fontepargpadro"/>
    <w:link w:val="Ttulo"/>
    <w:rsid w:val="009A40D8"/>
    <w:rPr>
      <w:rFonts w:ascii="Times New Roman" w:eastAsia="Times New Roman" w:hAnsi="Times New Roman" w:cs="Times New Roman"/>
      <w:color w:val="008000"/>
      <w:sz w:val="32"/>
      <w:szCs w:val="20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9A40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SubttuloChar">
    <w:name w:val="Subtítulo Char"/>
    <w:basedOn w:val="Fontepargpadro"/>
    <w:link w:val="Subttulo"/>
    <w:rsid w:val="009A40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E2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E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96E2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D3FA2"/>
    <w:pPr>
      <w:ind w:left="720"/>
      <w:contextualSpacing/>
    </w:pPr>
  </w:style>
  <w:style w:type="character" w:customStyle="1" w:styleId="highlight">
    <w:name w:val="highlight"/>
    <w:basedOn w:val="Fontepargpadro"/>
    <w:rsid w:val="00953035"/>
  </w:style>
  <w:style w:type="character" w:customStyle="1" w:styleId="Ttulo4Char">
    <w:name w:val="Título 4 Char"/>
    <w:basedOn w:val="Fontepargpadro"/>
    <w:link w:val="Ttulo4"/>
    <w:uiPriority w:val="9"/>
    <w:semiHidden/>
    <w:rsid w:val="007D5FB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D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009651520001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ENATO\Timbrado%20201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5A87-F7CE-47EB-B3E3-4305155A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2013</Template>
  <TotalTime>179</TotalTime>
  <Pages>13</Pages>
  <Words>3297</Words>
  <Characters>17804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Warllans Wagner Xavier Souza</dc:creator>
  <cp:keywords/>
  <dc:description/>
  <cp:lastModifiedBy>WARLLANS WAGNER XAVIER SOUZA</cp:lastModifiedBy>
  <cp:revision>36</cp:revision>
  <cp:lastPrinted>2022-06-17T19:28:00Z</cp:lastPrinted>
  <dcterms:created xsi:type="dcterms:W3CDTF">2022-04-28T21:03:00Z</dcterms:created>
  <dcterms:modified xsi:type="dcterms:W3CDTF">2022-06-17T19:33:00Z</dcterms:modified>
</cp:coreProperties>
</file>